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21" w:rsidRDefault="007B3F21">
      <w:bookmarkStart w:id="0" w:name="_GoBack"/>
      <w:bookmarkEnd w:id="0"/>
    </w:p>
    <w:sdt>
      <w:sdtPr>
        <w:id w:val="-535729949"/>
        <w:docPartObj>
          <w:docPartGallery w:val="Cover Pages"/>
          <w:docPartUnique/>
        </w:docPartObj>
      </w:sdtPr>
      <w:sdtEndPr/>
      <w:sdtContent>
        <w:p w:rsidR="007A0EFF" w:rsidRPr="00866647" w:rsidRDefault="007A0EFF"/>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72"/>
          </w:tblGrid>
          <w:tr w:rsidR="00866647" w:rsidRPr="00866647" w:rsidTr="00FB571F">
            <w:sdt>
              <w:sdtPr>
                <w:rPr>
                  <w:sz w:val="24"/>
                  <w:szCs w:val="24"/>
                </w:rPr>
                <w:alias w:val="Company"/>
                <w:id w:val="13406915"/>
                <w:placeholder>
                  <w:docPart w:val="E78615B756D64693A291E7A2F8132E73"/>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rsidR="007A0EFF" w:rsidRPr="00866647" w:rsidRDefault="00FB571F" w:rsidP="00FB571F">
                    <w:pPr>
                      <w:pStyle w:val="NoSpacing"/>
                      <w:rPr>
                        <w:sz w:val="24"/>
                      </w:rPr>
                    </w:pPr>
                    <w:r>
                      <w:rPr>
                        <w:sz w:val="24"/>
                        <w:szCs w:val="24"/>
                      </w:rPr>
                      <w:t>National Health Insurance Authority</w:t>
                    </w:r>
                  </w:p>
                </w:tc>
              </w:sdtContent>
            </w:sdt>
          </w:tr>
          <w:tr w:rsidR="00866647" w:rsidRPr="00866647" w:rsidTr="00FB571F">
            <w:tc>
              <w:tcPr>
                <w:tcW w:w="7476" w:type="dxa"/>
              </w:tcPr>
              <w:sdt>
                <w:sdtPr>
                  <w:rPr>
                    <w:rFonts w:asciiTheme="majorHAnsi" w:eastAsiaTheme="majorEastAsia" w:hAnsiTheme="majorHAnsi" w:cstheme="majorBidi"/>
                    <w:sz w:val="88"/>
                    <w:szCs w:val="88"/>
                  </w:rPr>
                  <w:alias w:val="Title"/>
                  <w:id w:val="13406919"/>
                  <w:placeholder>
                    <w:docPart w:val="58AFC3C6F9634F16A0CEB1D65F45D3AD"/>
                  </w:placeholder>
                  <w:dataBinding w:prefixMappings="xmlns:ns0='http://schemas.openxmlformats.org/package/2006/metadata/core-properties' xmlns:ns1='http://purl.org/dc/elements/1.1/'" w:xpath="/ns0:coreProperties[1]/ns1:title[1]" w:storeItemID="{6C3C8BC8-F283-45AE-878A-BAB7291924A1}"/>
                  <w:text/>
                </w:sdtPr>
                <w:sdtEndPr/>
                <w:sdtContent>
                  <w:p w:rsidR="007A0EFF" w:rsidRPr="00866647" w:rsidRDefault="00840086" w:rsidP="00840086">
                    <w:pPr>
                      <w:pStyle w:val="NoSpacing"/>
                      <w:spacing w:line="216" w:lineRule="auto"/>
                      <w:rPr>
                        <w:rFonts w:asciiTheme="majorHAnsi" w:eastAsiaTheme="majorEastAsia" w:hAnsiTheme="majorHAnsi" w:cstheme="majorBidi"/>
                        <w:sz w:val="88"/>
                        <w:szCs w:val="88"/>
                      </w:rPr>
                    </w:pPr>
                    <w:r>
                      <w:rPr>
                        <w:rFonts w:asciiTheme="majorHAnsi" w:eastAsiaTheme="majorEastAsia" w:hAnsiTheme="majorHAnsi" w:cstheme="majorBidi"/>
                        <w:sz w:val="88"/>
                        <w:szCs w:val="88"/>
                      </w:rPr>
                      <w:t>Privacy</w:t>
                    </w:r>
                    <w:r w:rsidR="00322DF1" w:rsidRPr="00866647">
                      <w:rPr>
                        <w:rFonts w:asciiTheme="majorHAnsi" w:eastAsiaTheme="majorEastAsia" w:hAnsiTheme="majorHAnsi" w:cstheme="majorBidi"/>
                        <w:sz w:val="88"/>
                        <w:szCs w:val="88"/>
                      </w:rPr>
                      <w:t xml:space="preserve"> Policy</w:t>
                    </w:r>
                  </w:p>
                </w:sdtContent>
              </w:sdt>
            </w:tc>
          </w:tr>
          <w:tr w:rsidR="00866647" w:rsidRPr="00866647" w:rsidTr="00FB571F">
            <w:sdt>
              <w:sdtPr>
                <w:rPr>
                  <w:sz w:val="24"/>
                  <w:szCs w:val="24"/>
                </w:rPr>
                <w:alias w:val="Subtitle"/>
                <w:id w:val="13406923"/>
                <w:placeholder>
                  <w:docPart w:val="9F2BA979C9D34F118E5334825E3DC338"/>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rsidR="007A0EFF" w:rsidRPr="00866647" w:rsidRDefault="00063F65" w:rsidP="00063F65">
                    <w:pPr>
                      <w:pStyle w:val="NoSpacing"/>
                      <w:rPr>
                        <w:sz w:val="24"/>
                      </w:rPr>
                    </w:pPr>
                    <w:r>
                      <w:rPr>
                        <w:sz w:val="24"/>
                        <w:szCs w:val="24"/>
                      </w:rPr>
                      <w:t>VERSION – April 20, 2017</w:t>
                    </w:r>
                  </w:p>
                </w:tc>
              </w:sdtContent>
            </w:sdt>
          </w:tr>
        </w:tbl>
        <w:p w:rsidR="00B82235" w:rsidRDefault="00BA022D">
          <w:pPr>
            <w:sectPr w:rsidR="00B82235" w:rsidSect="007A0EFF">
              <w:headerReference w:type="default" r:id="rId16"/>
              <w:footerReference w:type="default" r:id="rId17"/>
              <w:headerReference w:type="first" r:id="rId18"/>
              <w:pgSz w:w="12240" w:h="15840"/>
              <w:pgMar w:top="1440" w:right="1440" w:bottom="1440" w:left="1440" w:header="720" w:footer="720" w:gutter="0"/>
              <w:pgNumType w:start="0"/>
              <w:cols w:space="720"/>
              <w:titlePg/>
              <w:docGrid w:linePitch="360"/>
            </w:sectPr>
          </w:pPr>
        </w:p>
      </w:sdtContent>
    </w:sdt>
    <w:sdt>
      <w:sdtPr>
        <w:rPr>
          <w:rFonts w:asciiTheme="minorHAnsi" w:eastAsiaTheme="minorHAnsi" w:hAnsiTheme="minorHAnsi" w:cstheme="minorBidi"/>
          <w:color w:val="auto"/>
          <w:sz w:val="22"/>
          <w:szCs w:val="22"/>
          <w:lang w:val="en-CA"/>
        </w:rPr>
        <w:id w:val="2038316303"/>
        <w:docPartObj>
          <w:docPartGallery w:val="Table of Contents"/>
          <w:docPartUnique/>
        </w:docPartObj>
      </w:sdtPr>
      <w:sdtEndPr>
        <w:rPr>
          <w:b/>
          <w:bCs/>
          <w:noProof/>
        </w:rPr>
      </w:sdtEndPr>
      <w:sdtContent>
        <w:p w:rsidR="00D755B8" w:rsidRPr="00D755B8" w:rsidRDefault="00D755B8" w:rsidP="00D755B8">
          <w:pPr>
            <w:pStyle w:val="TOCHeading"/>
            <w:jc w:val="center"/>
            <w:rPr>
              <w:color w:val="auto"/>
              <w:spacing w:val="-10"/>
              <w:kern w:val="28"/>
              <w:sz w:val="56"/>
              <w:szCs w:val="56"/>
              <w:lang w:val="en-CA"/>
            </w:rPr>
          </w:pPr>
          <w:r w:rsidRPr="00D755B8">
            <w:rPr>
              <w:color w:val="auto"/>
              <w:spacing w:val="-10"/>
              <w:kern w:val="28"/>
              <w:sz w:val="56"/>
              <w:szCs w:val="56"/>
              <w:lang w:val="en-CA"/>
            </w:rPr>
            <w:t>Table of Contents</w:t>
          </w:r>
        </w:p>
        <w:p w:rsidR="00D1437E" w:rsidRDefault="00D755B8">
          <w:pPr>
            <w:pStyle w:val="TOC1"/>
            <w:rPr>
              <w:rFonts w:eastAsiaTheme="minorEastAsia"/>
              <w:noProof/>
              <w:lang w:eastAsia="en-CA"/>
            </w:rPr>
          </w:pPr>
          <w:r>
            <w:fldChar w:fldCharType="begin"/>
          </w:r>
          <w:r>
            <w:instrText xml:space="preserve"> TOC \o "1-3" \h \z \u </w:instrText>
          </w:r>
          <w:r>
            <w:fldChar w:fldCharType="separate"/>
          </w:r>
          <w:hyperlink w:anchor="_Toc480438279" w:history="1">
            <w:r w:rsidR="00D1437E" w:rsidRPr="00CC3B17">
              <w:rPr>
                <w:rStyle w:val="Hyperlink"/>
                <w:noProof/>
              </w:rPr>
              <w:t>1.</w:t>
            </w:r>
            <w:r w:rsidR="00D1437E">
              <w:rPr>
                <w:rFonts w:eastAsiaTheme="minorEastAsia"/>
                <w:noProof/>
                <w:lang w:eastAsia="en-CA"/>
              </w:rPr>
              <w:tab/>
            </w:r>
            <w:r w:rsidR="00D1437E" w:rsidRPr="00CC3B17">
              <w:rPr>
                <w:rStyle w:val="Hyperlink"/>
                <w:noProof/>
              </w:rPr>
              <w:t>Purpose of document</w:t>
            </w:r>
            <w:r w:rsidR="00D1437E">
              <w:rPr>
                <w:noProof/>
                <w:webHidden/>
              </w:rPr>
              <w:tab/>
            </w:r>
            <w:r w:rsidR="00D1437E">
              <w:rPr>
                <w:noProof/>
                <w:webHidden/>
              </w:rPr>
              <w:fldChar w:fldCharType="begin"/>
            </w:r>
            <w:r w:rsidR="00D1437E">
              <w:rPr>
                <w:noProof/>
                <w:webHidden/>
              </w:rPr>
              <w:instrText xml:space="preserve"> PAGEREF _Toc480438279 \h </w:instrText>
            </w:r>
            <w:r w:rsidR="00D1437E">
              <w:rPr>
                <w:noProof/>
                <w:webHidden/>
              </w:rPr>
            </w:r>
            <w:r w:rsidR="00D1437E">
              <w:rPr>
                <w:noProof/>
                <w:webHidden/>
              </w:rPr>
              <w:fldChar w:fldCharType="separate"/>
            </w:r>
            <w:r w:rsidR="00D1437E">
              <w:rPr>
                <w:noProof/>
                <w:webHidden/>
              </w:rPr>
              <w:t>1</w:t>
            </w:r>
            <w:r w:rsidR="00D1437E">
              <w:rPr>
                <w:noProof/>
                <w:webHidden/>
              </w:rPr>
              <w:fldChar w:fldCharType="end"/>
            </w:r>
          </w:hyperlink>
        </w:p>
        <w:p w:rsidR="00D1437E" w:rsidRDefault="00BA022D">
          <w:pPr>
            <w:pStyle w:val="TOC1"/>
            <w:rPr>
              <w:rFonts w:eastAsiaTheme="minorEastAsia"/>
              <w:noProof/>
              <w:lang w:eastAsia="en-CA"/>
            </w:rPr>
          </w:pPr>
          <w:hyperlink w:anchor="_Toc480438280" w:history="1">
            <w:r w:rsidR="00D1437E" w:rsidRPr="00CC3B17">
              <w:rPr>
                <w:rStyle w:val="Hyperlink"/>
                <w:noProof/>
              </w:rPr>
              <w:t>2.</w:t>
            </w:r>
            <w:r w:rsidR="00D1437E">
              <w:rPr>
                <w:rFonts w:eastAsiaTheme="minorEastAsia"/>
                <w:noProof/>
                <w:lang w:eastAsia="en-CA"/>
              </w:rPr>
              <w:tab/>
            </w:r>
            <w:r w:rsidR="00D1437E" w:rsidRPr="00CC3B17">
              <w:rPr>
                <w:rStyle w:val="Hyperlink"/>
                <w:noProof/>
              </w:rPr>
              <w:t>Definitions</w:t>
            </w:r>
            <w:r w:rsidR="00D1437E">
              <w:rPr>
                <w:noProof/>
                <w:webHidden/>
              </w:rPr>
              <w:tab/>
            </w:r>
            <w:r w:rsidR="00D1437E">
              <w:rPr>
                <w:noProof/>
                <w:webHidden/>
              </w:rPr>
              <w:fldChar w:fldCharType="begin"/>
            </w:r>
            <w:r w:rsidR="00D1437E">
              <w:rPr>
                <w:noProof/>
                <w:webHidden/>
              </w:rPr>
              <w:instrText xml:space="preserve"> PAGEREF _Toc480438280 \h </w:instrText>
            </w:r>
            <w:r w:rsidR="00D1437E">
              <w:rPr>
                <w:noProof/>
                <w:webHidden/>
              </w:rPr>
            </w:r>
            <w:r w:rsidR="00D1437E">
              <w:rPr>
                <w:noProof/>
                <w:webHidden/>
              </w:rPr>
              <w:fldChar w:fldCharType="separate"/>
            </w:r>
            <w:r w:rsidR="00D1437E">
              <w:rPr>
                <w:noProof/>
                <w:webHidden/>
              </w:rPr>
              <w:t>1</w:t>
            </w:r>
            <w:r w:rsidR="00D1437E">
              <w:rPr>
                <w:noProof/>
                <w:webHidden/>
              </w:rPr>
              <w:fldChar w:fldCharType="end"/>
            </w:r>
          </w:hyperlink>
        </w:p>
        <w:p w:rsidR="00D1437E" w:rsidRDefault="00BA022D">
          <w:pPr>
            <w:pStyle w:val="TOC1"/>
            <w:rPr>
              <w:rFonts w:eastAsiaTheme="minorEastAsia"/>
              <w:noProof/>
              <w:lang w:eastAsia="en-CA"/>
            </w:rPr>
          </w:pPr>
          <w:hyperlink w:anchor="_Toc480438281" w:history="1">
            <w:r w:rsidR="00D1437E" w:rsidRPr="00CC3B17">
              <w:rPr>
                <w:rStyle w:val="Hyperlink"/>
                <w:noProof/>
              </w:rPr>
              <w:t>3.</w:t>
            </w:r>
            <w:r w:rsidR="00D1437E">
              <w:rPr>
                <w:rFonts w:eastAsiaTheme="minorEastAsia"/>
                <w:noProof/>
                <w:lang w:eastAsia="en-CA"/>
              </w:rPr>
              <w:tab/>
            </w:r>
            <w:r w:rsidR="00D1437E" w:rsidRPr="00CC3B17">
              <w:rPr>
                <w:rStyle w:val="Hyperlink"/>
                <w:noProof/>
              </w:rPr>
              <w:t>Overview of NHI Bahamas</w:t>
            </w:r>
            <w:r w:rsidR="00D1437E">
              <w:rPr>
                <w:noProof/>
                <w:webHidden/>
              </w:rPr>
              <w:tab/>
            </w:r>
            <w:r w:rsidR="00D1437E">
              <w:rPr>
                <w:noProof/>
                <w:webHidden/>
              </w:rPr>
              <w:fldChar w:fldCharType="begin"/>
            </w:r>
            <w:r w:rsidR="00D1437E">
              <w:rPr>
                <w:noProof/>
                <w:webHidden/>
              </w:rPr>
              <w:instrText xml:space="preserve"> PAGEREF _Toc480438281 \h </w:instrText>
            </w:r>
            <w:r w:rsidR="00D1437E">
              <w:rPr>
                <w:noProof/>
                <w:webHidden/>
              </w:rPr>
            </w:r>
            <w:r w:rsidR="00D1437E">
              <w:rPr>
                <w:noProof/>
                <w:webHidden/>
              </w:rPr>
              <w:fldChar w:fldCharType="separate"/>
            </w:r>
            <w:r w:rsidR="00D1437E">
              <w:rPr>
                <w:noProof/>
                <w:webHidden/>
              </w:rPr>
              <w:t>3</w:t>
            </w:r>
            <w:r w:rsidR="00D1437E">
              <w:rPr>
                <w:noProof/>
                <w:webHidden/>
              </w:rPr>
              <w:fldChar w:fldCharType="end"/>
            </w:r>
          </w:hyperlink>
        </w:p>
        <w:p w:rsidR="00D1437E" w:rsidRDefault="00BA022D">
          <w:pPr>
            <w:pStyle w:val="TOC1"/>
            <w:rPr>
              <w:rFonts w:eastAsiaTheme="minorEastAsia"/>
              <w:noProof/>
              <w:lang w:eastAsia="en-CA"/>
            </w:rPr>
          </w:pPr>
          <w:hyperlink w:anchor="_Toc480438282" w:history="1">
            <w:r w:rsidR="00D1437E" w:rsidRPr="00CC3B17">
              <w:rPr>
                <w:rStyle w:val="Hyperlink"/>
                <w:noProof/>
              </w:rPr>
              <w:t>4.</w:t>
            </w:r>
            <w:r w:rsidR="00D1437E">
              <w:rPr>
                <w:rFonts w:eastAsiaTheme="minorEastAsia"/>
                <w:noProof/>
                <w:lang w:eastAsia="en-CA"/>
              </w:rPr>
              <w:tab/>
            </w:r>
            <w:r w:rsidR="00D1437E" w:rsidRPr="00CC3B17">
              <w:rPr>
                <w:rStyle w:val="Hyperlink"/>
                <w:noProof/>
              </w:rPr>
              <w:t>Purpose of personal information in relation to NHI Bahamas</w:t>
            </w:r>
            <w:r w:rsidR="00D1437E">
              <w:rPr>
                <w:noProof/>
                <w:webHidden/>
              </w:rPr>
              <w:tab/>
            </w:r>
            <w:r w:rsidR="00D1437E">
              <w:rPr>
                <w:noProof/>
                <w:webHidden/>
              </w:rPr>
              <w:fldChar w:fldCharType="begin"/>
            </w:r>
            <w:r w:rsidR="00D1437E">
              <w:rPr>
                <w:noProof/>
                <w:webHidden/>
              </w:rPr>
              <w:instrText xml:space="preserve"> PAGEREF _Toc480438282 \h </w:instrText>
            </w:r>
            <w:r w:rsidR="00D1437E">
              <w:rPr>
                <w:noProof/>
                <w:webHidden/>
              </w:rPr>
            </w:r>
            <w:r w:rsidR="00D1437E">
              <w:rPr>
                <w:noProof/>
                <w:webHidden/>
              </w:rPr>
              <w:fldChar w:fldCharType="separate"/>
            </w:r>
            <w:r w:rsidR="00D1437E">
              <w:rPr>
                <w:noProof/>
                <w:webHidden/>
              </w:rPr>
              <w:t>4</w:t>
            </w:r>
            <w:r w:rsidR="00D1437E">
              <w:rPr>
                <w:noProof/>
                <w:webHidden/>
              </w:rPr>
              <w:fldChar w:fldCharType="end"/>
            </w:r>
          </w:hyperlink>
        </w:p>
        <w:p w:rsidR="00D1437E" w:rsidRDefault="00BA022D">
          <w:pPr>
            <w:pStyle w:val="TOC1"/>
            <w:rPr>
              <w:rFonts w:eastAsiaTheme="minorEastAsia"/>
              <w:noProof/>
              <w:lang w:eastAsia="en-CA"/>
            </w:rPr>
          </w:pPr>
          <w:hyperlink w:anchor="_Toc480438283" w:history="1">
            <w:r w:rsidR="00D1437E" w:rsidRPr="00CC3B17">
              <w:rPr>
                <w:rStyle w:val="Hyperlink"/>
                <w:noProof/>
              </w:rPr>
              <w:t>5.</w:t>
            </w:r>
            <w:r w:rsidR="00D1437E">
              <w:rPr>
                <w:rFonts w:eastAsiaTheme="minorEastAsia"/>
                <w:noProof/>
                <w:lang w:eastAsia="en-CA"/>
              </w:rPr>
              <w:tab/>
            </w:r>
            <w:r w:rsidR="00D1437E" w:rsidRPr="00CC3B17">
              <w:rPr>
                <w:rStyle w:val="Hyperlink"/>
                <w:noProof/>
              </w:rPr>
              <w:t>Requirements under the Data Protection Act</w:t>
            </w:r>
            <w:r w:rsidR="00D1437E">
              <w:rPr>
                <w:noProof/>
                <w:webHidden/>
              </w:rPr>
              <w:tab/>
            </w:r>
            <w:r w:rsidR="00D1437E">
              <w:rPr>
                <w:noProof/>
                <w:webHidden/>
              </w:rPr>
              <w:fldChar w:fldCharType="begin"/>
            </w:r>
            <w:r w:rsidR="00D1437E">
              <w:rPr>
                <w:noProof/>
                <w:webHidden/>
              </w:rPr>
              <w:instrText xml:space="preserve"> PAGEREF _Toc480438283 \h </w:instrText>
            </w:r>
            <w:r w:rsidR="00D1437E">
              <w:rPr>
                <w:noProof/>
                <w:webHidden/>
              </w:rPr>
            </w:r>
            <w:r w:rsidR="00D1437E">
              <w:rPr>
                <w:noProof/>
                <w:webHidden/>
              </w:rPr>
              <w:fldChar w:fldCharType="separate"/>
            </w:r>
            <w:r w:rsidR="00D1437E">
              <w:rPr>
                <w:noProof/>
                <w:webHidden/>
              </w:rPr>
              <w:t>4</w:t>
            </w:r>
            <w:r w:rsidR="00D1437E">
              <w:rPr>
                <w:noProof/>
                <w:webHidden/>
              </w:rPr>
              <w:fldChar w:fldCharType="end"/>
            </w:r>
          </w:hyperlink>
        </w:p>
        <w:p w:rsidR="00D1437E" w:rsidRDefault="00BA022D">
          <w:pPr>
            <w:pStyle w:val="TOC2"/>
            <w:rPr>
              <w:rFonts w:eastAsiaTheme="minorEastAsia"/>
              <w:noProof/>
              <w:lang w:eastAsia="en-CA"/>
            </w:rPr>
          </w:pPr>
          <w:hyperlink w:anchor="_Toc480438284" w:history="1">
            <w:r w:rsidR="00D1437E" w:rsidRPr="00CC3B17">
              <w:rPr>
                <w:rStyle w:val="Hyperlink"/>
                <w:noProof/>
              </w:rPr>
              <w:t>5.1 Collection, processing, keeping, use and disclosure of personal data</w:t>
            </w:r>
            <w:r w:rsidR="00D1437E">
              <w:rPr>
                <w:noProof/>
                <w:webHidden/>
              </w:rPr>
              <w:tab/>
            </w:r>
            <w:r w:rsidR="00D1437E">
              <w:rPr>
                <w:noProof/>
                <w:webHidden/>
              </w:rPr>
              <w:fldChar w:fldCharType="begin"/>
            </w:r>
            <w:r w:rsidR="00D1437E">
              <w:rPr>
                <w:noProof/>
                <w:webHidden/>
              </w:rPr>
              <w:instrText xml:space="preserve"> PAGEREF _Toc480438284 \h </w:instrText>
            </w:r>
            <w:r w:rsidR="00D1437E">
              <w:rPr>
                <w:noProof/>
                <w:webHidden/>
              </w:rPr>
            </w:r>
            <w:r w:rsidR="00D1437E">
              <w:rPr>
                <w:noProof/>
                <w:webHidden/>
              </w:rPr>
              <w:fldChar w:fldCharType="separate"/>
            </w:r>
            <w:r w:rsidR="00D1437E">
              <w:rPr>
                <w:noProof/>
                <w:webHidden/>
              </w:rPr>
              <w:t>5</w:t>
            </w:r>
            <w:r w:rsidR="00D1437E">
              <w:rPr>
                <w:noProof/>
                <w:webHidden/>
              </w:rPr>
              <w:fldChar w:fldCharType="end"/>
            </w:r>
          </w:hyperlink>
        </w:p>
        <w:p w:rsidR="00D1437E" w:rsidRDefault="00BA022D">
          <w:pPr>
            <w:pStyle w:val="TOC2"/>
            <w:rPr>
              <w:rFonts w:eastAsiaTheme="minorEastAsia"/>
              <w:noProof/>
              <w:lang w:eastAsia="en-CA"/>
            </w:rPr>
          </w:pPr>
          <w:hyperlink w:anchor="_Toc480438285" w:history="1">
            <w:r w:rsidR="00D1437E" w:rsidRPr="00CC3B17">
              <w:rPr>
                <w:rStyle w:val="Hyperlink"/>
                <w:noProof/>
              </w:rPr>
              <w:t>5.2 Right of access</w:t>
            </w:r>
            <w:r w:rsidR="00D1437E">
              <w:rPr>
                <w:noProof/>
                <w:webHidden/>
              </w:rPr>
              <w:tab/>
            </w:r>
            <w:r w:rsidR="00D1437E">
              <w:rPr>
                <w:noProof/>
                <w:webHidden/>
              </w:rPr>
              <w:fldChar w:fldCharType="begin"/>
            </w:r>
            <w:r w:rsidR="00D1437E">
              <w:rPr>
                <w:noProof/>
                <w:webHidden/>
              </w:rPr>
              <w:instrText xml:space="preserve"> PAGEREF _Toc480438285 \h </w:instrText>
            </w:r>
            <w:r w:rsidR="00D1437E">
              <w:rPr>
                <w:noProof/>
                <w:webHidden/>
              </w:rPr>
            </w:r>
            <w:r w:rsidR="00D1437E">
              <w:rPr>
                <w:noProof/>
                <w:webHidden/>
              </w:rPr>
              <w:fldChar w:fldCharType="separate"/>
            </w:r>
            <w:r w:rsidR="00D1437E">
              <w:rPr>
                <w:noProof/>
                <w:webHidden/>
              </w:rPr>
              <w:t>5</w:t>
            </w:r>
            <w:r w:rsidR="00D1437E">
              <w:rPr>
                <w:noProof/>
                <w:webHidden/>
              </w:rPr>
              <w:fldChar w:fldCharType="end"/>
            </w:r>
          </w:hyperlink>
        </w:p>
        <w:p w:rsidR="00D1437E" w:rsidRDefault="00BA022D">
          <w:pPr>
            <w:pStyle w:val="TOC2"/>
            <w:rPr>
              <w:rFonts w:eastAsiaTheme="minorEastAsia"/>
              <w:noProof/>
              <w:lang w:eastAsia="en-CA"/>
            </w:rPr>
          </w:pPr>
          <w:hyperlink w:anchor="_Toc480438286" w:history="1">
            <w:r w:rsidR="00D1437E" w:rsidRPr="00CC3B17">
              <w:rPr>
                <w:rStyle w:val="Hyperlink"/>
                <w:noProof/>
              </w:rPr>
              <w:t>5.3 Right of correction or erasure</w:t>
            </w:r>
            <w:r w:rsidR="00D1437E">
              <w:rPr>
                <w:noProof/>
                <w:webHidden/>
              </w:rPr>
              <w:tab/>
            </w:r>
            <w:r w:rsidR="00D1437E">
              <w:rPr>
                <w:noProof/>
                <w:webHidden/>
              </w:rPr>
              <w:fldChar w:fldCharType="begin"/>
            </w:r>
            <w:r w:rsidR="00D1437E">
              <w:rPr>
                <w:noProof/>
                <w:webHidden/>
              </w:rPr>
              <w:instrText xml:space="preserve"> PAGEREF _Toc480438286 \h </w:instrText>
            </w:r>
            <w:r w:rsidR="00D1437E">
              <w:rPr>
                <w:noProof/>
                <w:webHidden/>
              </w:rPr>
            </w:r>
            <w:r w:rsidR="00D1437E">
              <w:rPr>
                <w:noProof/>
                <w:webHidden/>
              </w:rPr>
              <w:fldChar w:fldCharType="separate"/>
            </w:r>
            <w:r w:rsidR="00D1437E">
              <w:rPr>
                <w:noProof/>
                <w:webHidden/>
              </w:rPr>
              <w:t>6</w:t>
            </w:r>
            <w:r w:rsidR="00D1437E">
              <w:rPr>
                <w:noProof/>
                <w:webHidden/>
              </w:rPr>
              <w:fldChar w:fldCharType="end"/>
            </w:r>
          </w:hyperlink>
        </w:p>
        <w:p w:rsidR="00D1437E" w:rsidRDefault="00BA022D">
          <w:pPr>
            <w:pStyle w:val="TOC2"/>
            <w:rPr>
              <w:rFonts w:eastAsiaTheme="minorEastAsia"/>
              <w:noProof/>
              <w:lang w:eastAsia="en-CA"/>
            </w:rPr>
          </w:pPr>
          <w:hyperlink w:anchor="_Toc480438287" w:history="1">
            <w:r w:rsidR="00D1437E" w:rsidRPr="00CC3B17">
              <w:rPr>
                <w:rStyle w:val="Hyperlink"/>
                <w:noProof/>
              </w:rPr>
              <w:t>5.4 Disclosure of personal data in certain cases</w:t>
            </w:r>
            <w:r w:rsidR="00D1437E">
              <w:rPr>
                <w:noProof/>
                <w:webHidden/>
              </w:rPr>
              <w:tab/>
            </w:r>
            <w:r w:rsidR="00D1437E">
              <w:rPr>
                <w:noProof/>
                <w:webHidden/>
              </w:rPr>
              <w:fldChar w:fldCharType="begin"/>
            </w:r>
            <w:r w:rsidR="00D1437E">
              <w:rPr>
                <w:noProof/>
                <w:webHidden/>
              </w:rPr>
              <w:instrText xml:space="preserve"> PAGEREF _Toc480438287 \h </w:instrText>
            </w:r>
            <w:r w:rsidR="00D1437E">
              <w:rPr>
                <w:noProof/>
                <w:webHidden/>
              </w:rPr>
            </w:r>
            <w:r w:rsidR="00D1437E">
              <w:rPr>
                <w:noProof/>
                <w:webHidden/>
              </w:rPr>
              <w:fldChar w:fldCharType="separate"/>
            </w:r>
            <w:r w:rsidR="00D1437E">
              <w:rPr>
                <w:noProof/>
                <w:webHidden/>
              </w:rPr>
              <w:t>6</w:t>
            </w:r>
            <w:r w:rsidR="00D1437E">
              <w:rPr>
                <w:noProof/>
                <w:webHidden/>
              </w:rPr>
              <w:fldChar w:fldCharType="end"/>
            </w:r>
          </w:hyperlink>
        </w:p>
        <w:p w:rsidR="00D1437E" w:rsidRDefault="00BA022D">
          <w:pPr>
            <w:pStyle w:val="TOC1"/>
            <w:rPr>
              <w:rFonts w:eastAsiaTheme="minorEastAsia"/>
              <w:noProof/>
              <w:lang w:eastAsia="en-CA"/>
            </w:rPr>
          </w:pPr>
          <w:hyperlink w:anchor="_Toc480438288" w:history="1">
            <w:r w:rsidR="00D1437E" w:rsidRPr="00CC3B17">
              <w:rPr>
                <w:rStyle w:val="Hyperlink"/>
                <w:noProof/>
              </w:rPr>
              <w:t>6.</w:t>
            </w:r>
            <w:r w:rsidR="00D1437E">
              <w:rPr>
                <w:rFonts w:eastAsiaTheme="minorEastAsia"/>
                <w:noProof/>
                <w:lang w:eastAsia="en-CA"/>
              </w:rPr>
              <w:tab/>
            </w:r>
            <w:r w:rsidR="00D1437E" w:rsidRPr="00CC3B17">
              <w:rPr>
                <w:rStyle w:val="Hyperlink"/>
                <w:noProof/>
              </w:rPr>
              <w:t>Beneficiary Knowledge and Consent</w:t>
            </w:r>
            <w:r w:rsidR="00D1437E">
              <w:rPr>
                <w:noProof/>
                <w:webHidden/>
              </w:rPr>
              <w:tab/>
            </w:r>
            <w:r w:rsidR="00D1437E">
              <w:rPr>
                <w:noProof/>
                <w:webHidden/>
              </w:rPr>
              <w:fldChar w:fldCharType="begin"/>
            </w:r>
            <w:r w:rsidR="00D1437E">
              <w:rPr>
                <w:noProof/>
                <w:webHidden/>
              </w:rPr>
              <w:instrText xml:space="preserve"> PAGEREF _Toc480438288 \h </w:instrText>
            </w:r>
            <w:r w:rsidR="00D1437E">
              <w:rPr>
                <w:noProof/>
                <w:webHidden/>
              </w:rPr>
            </w:r>
            <w:r w:rsidR="00D1437E">
              <w:rPr>
                <w:noProof/>
                <w:webHidden/>
              </w:rPr>
              <w:fldChar w:fldCharType="separate"/>
            </w:r>
            <w:r w:rsidR="00D1437E">
              <w:rPr>
                <w:noProof/>
                <w:webHidden/>
              </w:rPr>
              <w:t>6</w:t>
            </w:r>
            <w:r w:rsidR="00D1437E">
              <w:rPr>
                <w:noProof/>
                <w:webHidden/>
              </w:rPr>
              <w:fldChar w:fldCharType="end"/>
            </w:r>
          </w:hyperlink>
        </w:p>
        <w:p w:rsidR="00D1437E" w:rsidRDefault="00BA022D">
          <w:pPr>
            <w:pStyle w:val="TOC1"/>
            <w:rPr>
              <w:rFonts w:eastAsiaTheme="minorEastAsia"/>
              <w:noProof/>
              <w:lang w:eastAsia="en-CA"/>
            </w:rPr>
          </w:pPr>
          <w:hyperlink w:anchor="_Toc480438289" w:history="1">
            <w:r w:rsidR="00D1437E" w:rsidRPr="00CC3B17">
              <w:rPr>
                <w:rStyle w:val="Hyperlink"/>
                <w:noProof/>
              </w:rPr>
              <w:t>7.</w:t>
            </w:r>
            <w:r w:rsidR="00D1437E">
              <w:rPr>
                <w:rFonts w:eastAsiaTheme="minorEastAsia"/>
                <w:noProof/>
                <w:lang w:eastAsia="en-CA"/>
              </w:rPr>
              <w:tab/>
            </w:r>
            <w:r w:rsidR="00D1437E" w:rsidRPr="00CC3B17">
              <w:rPr>
                <w:rStyle w:val="Hyperlink"/>
                <w:noProof/>
              </w:rPr>
              <w:t>Data governance</w:t>
            </w:r>
            <w:r w:rsidR="00D1437E">
              <w:rPr>
                <w:noProof/>
                <w:webHidden/>
              </w:rPr>
              <w:tab/>
            </w:r>
            <w:r w:rsidR="00D1437E">
              <w:rPr>
                <w:noProof/>
                <w:webHidden/>
              </w:rPr>
              <w:fldChar w:fldCharType="begin"/>
            </w:r>
            <w:r w:rsidR="00D1437E">
              <w:rPr>
                <w:noProof/>
                <w:webHidden/>
              </w:rPr>
              <w:instrText xml:space="preserve"> PAGEREF _Toc480438289 \h </w:instrText>
            </w:r>
            <w:r w:rsidR="00D1437E">
              <w:rPr>
                <w:noProof/>
                <w:webHidden/>
              </w:rPr>
            </w:r>
            <w:r w:rsidR="00D1437E">
              <w:rPr>
                <w:noProof/>
                <w:webHidden/>
              </w:rPr>
              <w:fldChar w:fldCharType="separate"/>
            </w:r>
            <w:r w:rsidR="00D1437E">
              <w:rPr>
                <w:noProof/>
                <w:webHidden/>
              </w:rPr>
              <w:t>7</w:t>
            </w:r>
            <w:r w:rsidR="00D1437E">
              <w:rPr>
                <w:noProof/>
                <w:webHidden/>
              </w:rPr>
              <w:fldChar w:fldCharType="end"/>
            </w:r>
          </w:hyperlink>
        </w:p>
        <w:p w:rsidR="00D1437E" w:rsidRDefault="00BA022D">
          <w:pPr>
            <w:pStyle w:val="TOC2"/>
            <w:rPr>
              <w:rFonts w:eastAsiaTheme="minorEastAsia"/>
              <w:noProof/>
              <w:lang w:eastAsia="en-CA"/>
            </w:rPr>
          </w:pPr>
          <w:hyperlink w:anchor="_Toc480438290" w:history="1">
            <w:r w:rsidR="00D1437E" w:rsidRPr="00CC3B17">
              <w:rPr>
                <w:rStyle w:val="Hyperlink"/>
                <w:noProof/>
              </w:rPr>
              <w:t>7.1 Memorandum of Understanding between the NHIA and NIB specific obligations</w:t>
            </w:r>
            <w:r w:rsidR="00D1437E">
              <w:rPr>
                <w:noProof/>
                <w:webHidden/>
              </w:rPr>
              <w:tab/>
            </w:r>
            <w:r w:rsidR="00D1437E">
              <w:rPr>
                <w:noProof/>
                <w:webHidden/>
              </w:rPr>
              <w:fldChar w:fldCharType="begin"/>
            </w:r>
            <w:r w:rsidR="00D1437E">
              <w:rPr>
                <w:noProof/>
                <w:webHidden/>
              </w:rPr>
              <w:instrText xml:space="preserve"> PAGEREF _Toc480438290 \h </w:instrText>
            </w:r>
            <w:r w:rsidR="00D1437E">
              <w:rPr>
                <w:noProof/>
                <w:webHidden/>
              </w:rPr>
            </w:r>
            <w:r w:rsidR="00D1437E">
              <w:rPr>
                <w:noProof/>
                <w:webHidden/>
              </w:rPr>
              <w:fldChar w:fldCharType="separate"/>
            </w:r>
            <w:r w:rsidR="00D1437E">
              <w:rPr>
                <w:noProof/>
                <w:webHidden/>
              </w:rPr>
              <w:t>7</w:t>
            </w:r>
            <w:r w:rsidR="00D1437E">
              <w:rPr>
                <w:noProof/>
                <w:webHidden/>
              </w:rPr>
              <w:fldChar w:fldCharType="end"/>
            </w:r>
          </w:hyperlink>
        </w:p>
        <w:p w:rsidR="00D1437E" w:rsidRDefault="00BA022D">
          <w:pPr>
            <w:pStyle w:val="TOC2"/>
            <w:rPr>
              <w:rFonts w:eastAsiaTheme="minorEastAsia"/>
              <w:noProof/>
              <w:lang w:eastAsia="en-CA"/>
            </w:rPr>
          </w:pPr>
          <w:hyperlink w:anchor="_Toc480438291" w:history="1">
            <w:r w:rsidR="00D1437E" w:rsidRPr="00CC3B17">
              <w:rPr>
                <w:rStyle w:val="Hyperlink"/>
                <w:noProof/>
              </w:rPr>
              <w:t>7.2 Provider registration</w:t>
            </w:r>
            <w:r w:rsidR="00D1437E">
              <w:rPr>
                <w:noProof/>
                <w:webHidden/>
              </w:rPr>
              <w:tab/>
            </w:r>
            <w:r w:rsidR="00D1437E">
              <w:rPr>
                <w:noProof/>
                <w:webHidden/>
              </w:rPr>
              <w:fldChar w:fldCharType="begin"/>
            </w:r>
            <w:r w:rsidR="00D1437E">
              <w:rPr>
                <w:noProof/>
                <w:webHidden/>
              </w:rPr>
              <w:instrText xml:space="preserve"> PAGEREF _Toc480438291 \h </w:instrText>
            </w:r>
            <w:r w:rsidR="00D1437E">
              <w:rPr>
                <w:noProof/>
                <w:webHidden/>
              </w:rPr>
            </w:r>
            <w:r w:rsidR="00D1437E">
              <w:rPr>
                <w:noProof/>
                <w:webHidden/>
              </w:rPr>
              <w:fldChar w:fldCharType="separate"/>
            </w:r>
            <w:r w:rsidR="00D1437E">
              <w:rPr>
                <w:noProof/>
                <w:webHidden/>
              </w:rPr>
              <w:t>7</w:t>
            </w:r>
            <w:r w:rsidR="00D1437E">
              <w:rPr>
                <w:noProof/>
                <w:webHidden/>
              </w:rPr>
              <w:fldChar w:fldCharType="end"/>
            </w:r>
          </w:hyperlink>
        </w:p>
        <w:p w:rsidR="00D1437E" w:rsidRDefault="00BA022D">
          <w:pPr>
            <w:pStyle w:val="TOC1"/>
            <w:rPr>
              <w:rFonts w:eastAsiaTheme="minorEastAsia"/>
              <w:noProof/>
              <w:lang w:eastAsia="en-CA"/>
            </w:rPr>
          </w:pPr>
          <w:hyperlink w:anchor="_Toc480438292" w:history="1">
            <w:r w:rsidR="00D1437E" w:rsidRPr="00CC3B17">
              <w:rPr>
                <w:rStyle w:val="Hyperlink"/>
                <w:noProof/>
              </w:rPr>
              <w:t>8.</w:t>
            </w:r>
            <w:r w:rsidR="00D1437E">
              <w:rPr>
                <w:rFonts w:eastAsiaTheme="minorEastAsia"/>
                <w:noProof/>
                <w:lang w:eastAsia="en-CA"/>
              </w:rPr>
              <w:tab/>
            </w:r>
            <w:r w:rsidR="00D1437E" w:rsidRPr="00CC3B17">
              <w:rPr>
                <w:rStyle w:val="Hyperlink"/>
                <w:noProof/>
              </w:rPr>
              <w:t>Training and Awareness</w:t>
            </w:r>
            <w:r w:rsidR="00D1437E">
              <w:rPr>
                <w:noProof/>
                <w:webHidden/>
              </w:rPr>
              <w:tab/>
            </w:r>
            <w:r w:rsidR="00D1437E">
              <w:rPr>
                <w:noProof/>
                <w:webHidden/>
              </w:rPr>
              <w:fldChar w:fldCharType="begin"/>
            </w:r>
            <w:r w:rsidR="00D1437E">
              <w:rPr>
                <w:noProof/>
                <w:webHidden/>
              </w:rPr>
              <w:instrText xml:space="preserve"> PAGEREF _Toc480438292 \h </w:instrText>
            </w:r>
            <w:r w:rsidR="00D1437E">
              <w:rPr>
                <w:noProof/>
                <w:webHidden/>
              </w:rPr>
            </w:r>
            <w:r w:rsidR="00D1437E">
              <w:rPr>
                <w:noProof/>
                <w:webHidden/>
              </w:rPr>
              <w:fldChar w:fldCharType="separate"/>
            </w:r>
            <w:r w:rsidR="00D1437E">
              <w:rPr>
                <w:noProof/>
                <w:webHidden/>
              </w:rPr>
              <w:t>8</w:t>
            </w:r>
            <w:r w:rsidR="00D1437E">
              <w:rPr>
                <w:noProof/>
                <w:webHidden/>
              </w:rPr>
              <w:fldChar w:fldCharType="end"/>
            </w:r>
          </w:hyperlink>
        </w:p>
        <w:p w:rsidR="00D1437E" w:rsidRDefault="00BA022D">
          <w:pPr>
            <w:pStyle w:val="TOC1"/>
            <w:rPr>
              <w:rFonts w:eastAsiaTheme="minorEastAsia"/>
              <w:noProof/>
              <w:lang w:eastAsia="en-CA"/>
            </w:rPr>
          </w:pPr>
          <w:hyperlink w:anchor="_Toc480438293" w:history="1">
            <w:r w:rsidR="00D1437E" w:rsidRPr="00CC3B17">
              <w:rPr>
                <w:rStyle w:val="Hyperlink"/>
                <w:noProof/>
              </w:rPr>
              <w:t>9.</w:t>
            </w:r>
            <w:r w:rsidR="00D1437E">
              <w:rPr>
                <w:rFonts w:eastAsiaTheme="minorEastAsia"/>
                <w:noProof/>
                <w:lang w:eastAsia="en-CA"/>
              </w:rPr>
              <w:tab/>
            </w:r>
            <w:r w:rsidR="00D1437E" w:rsidRPr="00CC3B17">
              <w:rPr>
                <w:rStyle w:val="Hyperlink"/>
                <w:noProof/>
              </w:rPr>
              <w:t>Security Safeguards</w:t>
            </w:r>
            <w:r w:rsidR="00D1437E">
              <w:rPr>
                <w:noProof/>
                <w:webHidden/>
              </w:rPr>
              <w:tab/>
            </w:r>
            <w:r w:rsidR="00D1437E">
              <w:rPr>
                <w:noProof/>
                <w:webHidden/>
              </w:rPr>
              <w:fldChar w:fldCharType="begin"/>
            </w:r>
            <w:r w:rsidR="00D1437E">
              <w:rPr>
                <w:noProof/>
                <w:webHidden/>
              </w:rPr>
              <w:instrText xml:space="preserve"> PAGEREF _Toc480438293 \h </w:instrText>
            </w:r>
            <w:r w:rsidR="00D1437E">
              <w:rPr>
                <w:noProof/>
                <w:webHidden/>
              </w:rPr>
            </w:r>
            <w:r w:rsidR="00D1437E">
              <w:rPr>
                <w:noProof/>
                <w:webHidden/>
              </w:rPr>
              <w:fldChar w:fldCharType="separate"/>
            </w:r>
            <w:r w:rsidR="00D1437E">
              <w:rPr>
                <w:noProof/>
                <w:webHidden/>
              </w:rPr>
              <w:t>8</w:t>
            </w:r>
            <w:r w:rsidR="00D1437E">
              <w:rPr>
                <w:noProof/>
                <w:webHidden/>
              </w:rPr>
              <w:fldChar w:fldCharType="end"/>
            </w:r>
          </w:hyperlink>
        </w:p>
        <w:p w:rsidR="00D1437E" w:rsidRDefault="00BA022D">
          <w:pPr>
            <w:pStyle w:val="TOC1"/>
            <w:rPr>
              <w:rFonts w:eastAsiaTheme="minorEastAsia"/>
              <w:noProof/>
              <w:lang w:eastAsia="en-CA"/>
            </w:rPr>
          </w:pPr>
          <w:hyperlink w:anchor="_Toc480438294" w:history="1">
            <w:r w:rsidR="00D1437E" w:rsidRPr="00CC3B17">
              <w:rPr>
                <w:rStyle w:val="Hyperlink"/>
                <w:noProof/>
              </w:rPr>
              <w:t>10.</w:t>
            </w:r>
            <w:r w:rsidR="00D1437E">
              <w:rPr>
                <w:rFonts w:eastAsiaTheme="minorEastAsia"/>
                <w:noProof/>
                <w:lang w:eastAsia="en-CA"/>
              </w:rPr>
              <w:tab/>
            </w:r>
            <w:r w:rsidR="00D1437E" w:rsidRPr="00CC3B17">
              <w:rPr>
                <w:rStyle w:val="Hyperlink"/>
                <w:noProof/>
              </w:rPr>
              <w:t>Privacy incidents</w:t>
            </w:r>
            <w:r w:rsidR="00D1437E">
              <w:rPr>
                <w:noProof/>
                <w:webHidden/>
              </w:rPr>
              <w:tab/>
            </w:r>
            <w:r w:rsidR="00D1437E">
              <w:rPr>
                <w:noProof/>
                <w:webHidden/>
              </w:rPr>
              <w:fldChar w:fldCharType="begin"/>
            </w:r>
            <w:r w:rsidR="00D1437E">
              <w:rPr>
                <w:noProof/>
                <w:webHidden/>
              </w:rPr>
              <w:instrText xml:space="preserve"> PAGEREF _Toc480438294 \h </w:instrText>
            </w:r>
            <w:r w:rsidR="00D1437E">
              <w:rPr>
                <w:noProof/>
                <w:webHidden/>
              </w:rPr>
            </w:r>
            <w:r w:rsidR="00D1437E">
              <w:rPr>
                <w:noProof/>
                <w:webHidden/>
              </w:rPr>
              <w:fldChar w:fldCharType="separate"/>
            </w:r>
            <w:r w:rsidR="00D1437E">
              <w:rPr>
                <w:noProof/>
                <w:webHidden/>
              </w:rPr>
              <w:t>9</w:t>
            </w:r>
            <w:r w:rsidR="00D1437E">
              <w:rPr>
                <w:noProof/>
                <w:webHidden/>
              </w:rPr>
              <w:fldChar w:fldCharType="end"/>
            </w:r>
          </w:hyperlink>
        </w:p>
        <w:p w:rsidR="00D1437E" w:rsidRDefault="00BA022D">
          <w:pPr>
            <w:pStyle w:val="TOC1"/>
            <w:rPr>
              <w:rFonts w:eastAsiaTheme="minorEastAsia"/>
              <w:noProof/>
              <w:lang w:eastAsia="en-CA"/>
            </w:rPr>
          </w:pPr>
          <w:hyperlink w:anchor="_Toc480438295" w:history="1">
            <w:r w:rsidR="00D1437E" w:rsidRPr="00CC3B17">
              <w:rPr>
                <w:rStyle w:val="Hyperlink"/>
                <w:noProof/>
              </w:rPr>
              <w:t>11.</w:t>
            </w:r>
            <w:r w:rsidR="00D1437E">
              <w:rPr>
                <w:rFonts w:eastAsiaTheme="minorEastAsia"/>
                <w:noProof/>
                <w:lang w:eastAsia="en-CA"/>
              </w:rPr>
              <w:tab/>
            </w:r>
            <w:r w:rsidR="00D1437E" w:rsidRPr="00CC3B17">
              <w:rPr>
                <w:rStyle w:val="Hyperlink"/>
                <w:noProof/>
              </w:rPr>
              <w:t>Compliance Monitoring</w:t>
            </w:r>
            <w:r w:rsidR="00D1437E">
              <w:rPr>
                <w:noProof/>
                <w:webHidden/>
              </w:rPr>
              <w:tab/>
            </w:r>
            <w:r w:rsidR="00D1437E">
              <w:rPr>
                <w:noProof/>
                <w:webHidden/>
              </w:rPr>
              <w:fldChar w:fldCharType="begin"/>
            </w:r>
            <w:r w:rsidR="00D1437E">
              <w:rPr>
                <w:noProof/>
                <w:webHidden/>
              </w:rPr>
              <w:instrText xml:space="preserve"> PAGEREF _Toc480438295 \h </w:instrText>
            </w:r>
            <w:r w:rsidR="00D1437E">
              <w:rPr>
                <w:noProof/>
                <w:webHidden/>
              </w:rPr>
            </w:r>
            <w:r w:rsidR="00D1437E">
              <w:rPr>
                <w:noProof/>
                <w:webHidden/>
              </w:rPr>
              <w:fldChar w:fldCharType="separate"/>
            </w:r>
            <w:r w:rsidR="00D1437E">
              <w:rPr>
                <w:noProof/>
                <w:webHidden/>
              </w:rPr>
              <w:t>9</w:t>
            </w:r>
            <w:r w:rsidR="00D1437E">
              <w:rPr>
                <w:noProof/>
                <w:webHidden/>
              </w:rPr>
              <w:fldChar w:fldCharType="end"/>
            </w:r>
          </w:hyperlink>
        </w:p>
        <w:p w:rsidR="00D755B8" w:rsidRDefault="00D755B8">
          <w:r>
            <w:rPr>
              <w:b/>
              <w:bCs/>
              <w:noProof/>
            </w:rPr>
            <w:fldChar w:fldCharType="end"/>
          </w:r>
        </w:p>
      </w:sdtContent>
    </w:sdt>
    <w:p w:rsidR="00D755B8" w:rsidRDefault="00D755B8" w:rsidP="009A3C65">
      <w:pPr>
        <w:pStyle w:val="Title"/>
        <w:jc w:val="center"/>
        <w:sectPr w:rsidR="00D755B8" w:rsidSect="00D1437E">
          <w:pgSz w:w="12240" w:h="15840"/>
          <w:pgMar w:top="1440" w:right="1440" w:bottom="1440" w:left="1440" w:header="720" w:footer="720" w:gutter="0"/>
          <w:cols w:space="720"/>
          <w:titlePg/>
          <w:docGrid w:linePitch="360"/>
        </w:sectPr>
      </w:pPr>
    </w:p>
    <w:p w:rsidR="009A3C65" w:rsidRDefault="000D34D8" w:rsidP="009A3C65">
      <w:pPr>
        <w:pStyle w:val="Title"/>
        <w:jc w:val="center"/>
      </w:pPr>
      <w:r>
        <w:t>NHIA</w:t>
      </w:r>
      <w:r w:rsidR="00DB3BD8">
        <w:t xml:space="preserve"> </w:t>
      </w:r>
      <w:r w:rsidR="00840086">
        <w:t>Privacy</w:t>
      </w:r>
      <w:r w:rsidR="00322DF1">
        <w:t xml:space="preserve"> </w:t>
      </w:r>
      <w:r w:rsidR="009A3C65">
        <w:t>Policy</w:t>
      </w:r>
    </w:p>
    <w:p w:rsidR="006C58D9" w:rsidRPr="008D5D54" w:rsidRDefault="006C58D9" w:rsidP="00896DEC">
      <w:pPr>
        <w:pStyle w:val="Heading1"/>
        <w:ind w:left="540" w:hanging="540"/>
      </w:pPr>
      <w:bookmarkStart w:id="1" w:name="_Toc480438279"/>
      <w:r w:rsidRPr="008D5D54">
        <w:t>Purpose of document</w:t>
      </w:r>
      <w:bookmarkEnd w:id="1"/>
    </w:p>
    <w:p w:rsidR="00D1437E" w:rsidRDefault="00D1437E" w:rsidP="00D1437E">
      <w:pPr>
        <w:jc w:val="both"/>
      </w:pPr>
      <w:r w:rsidRPr="00866647">
        <w:t xml:space="preserve">National Health Insurance Bahamas (“NHI Bahamas”) is the Government’s programme for a modern, affordable and accessible National Health Insurance (“NHI”) plan, beginning with primary health care. </w:t>
      </w:r>
    </w:p>
    <w:p w:rsidR="00D1437E" w:rsidRPr="00866647" w:rsidRDefault="00D1437E" w:rsidP="00D1437E">
      <w:pPr>
        <w:jc w:val="both"/>
      </w:pPr>
      <w:r>
        <w:t xml:space="preserve">Pursuant to the </w:t>
      </w:r>
      <w:r w:rsidRPr="00176CDC">
        <w:rPr>
          <w:i/>
        </w:rPr>
        <w:t>National Health Insurance Act</w:t>
      </w:r>
      <w:r>
        <w:t>, 2016 (“NHI Act”), t</w:t>
      </w:r>
      <w:r w:rsidRPr="00866647">
        <w:t xml:space="preserve">he Government established the </w:t>
      </w:r>
      <w:r>
        <w:t>National Health Insurance</w:t>
      </w:r>
      <w:r w:rsidRPr="00866647">
        <w:t xml:space="preserve"> Authority (“NHIA”) to administer NHI Bahamas.</w:t>
      </w:r>
    </w:p>
    <w:p w:rsidR="00D1437E" w:rsidRDefault="00D1437E" w:rsidP="00D1437E">
      <w:pPr>
        <w:jc w:val="both"/>
      </w:pPr>
      <w:r>
        <w:t xml:space="preserve">The NHIA is committed to the highest standards of privacy and information management. </w:t>
      </w:r>
      <w:r w:rsidRPr="00866647">
        <w:t xml:space="preserve">This document outlines the </w:t>
      </w:r>
      <w:r>
        <w:t xml:space="preserve">NHIA’s </w:t>
      </w:r>
      <w:r w:rsidR="00C62386">
        <w:t>operational policy</w:t>
      </w:r>
      <w:r>
        <w:t xml:space="preserve"> for the protection of beneficiary personal health information that is collected, sent or received by the NHIA</w:t>
      </w:r>
      <w:r w:rsidR="00A20EF5">
        <w:t>.</w:t>
      </w:r>
    </w:p>
    <w:p w:rsidR="009E1AA4" w:rsidRPr="008D5D54" w:rsidRDefault="00D35620" w:rsidP="00896DEC">
      <w:pPr>
        <w:pStyle w:val="Heading1"/>
        <w:ind w:left="540" w:hanging="540"/>
      </w:pPr>
      <w:bookmarkStart w:id="2" w:name="_Toc480438280"/>
      <w:r w:rsidRPr="008D5D54">
        <w:t>Definitions</w:t>
      </w:r>
      <w:bookmarkEnd w:id="2"/>
    </w:p>
    <w:p w:rsidR="001929CE" w:rsidRDefault="001929CE" w:rsidP="000F0E03">
      <w:pPr>
        <w:jc w:val="both"/>
        <w:rPr>
          <w:b/>
        </w:rPr>
      </w:pPr>
      <w:r>
        <w:rPr>
          <w:b/>
        </w:rPr>
        <w:t>Back-up data</w:t>
      </w:r>
      <w:r w:rsidRPr="001929CE">
        <w:rPr>
          <w:b/>
        </w:rPr>
        <w:t xml:space="preserve"> </w:t>
      </w:r>
      <w:r w:rsidRPr="001929CE">
        <w:t xml:space="preserve">means data kept only for the purpose of replacing other data in the event of </w:t>
      </w:r>
      <w:r w:rsidR="00E56DA3">
        <w:t>that data</w:t>
      </w:r>
      <w:r w:rsidR="00E56DA3" w:rsidRPr="001929CE">
        <w:t xml:space="preserve"> </w:t>
      </w:r>
      <w:r w:rsidRPr="001929CE">
        <w:t>being altered, lost, destroyed or damaged.</w:t>
      </w:r>
    </w:p>
    <w:p w:rsidR="00DB3BD8" w:rsidRDefault="00DB3BD8" w:rsidP="000F0E03">
      <w:pPr>
        <w:jc w:val="both"/>
      </w:pPr>
      <w:r>
        <w:rPr>
          <w:b/>
        </w:rPr>
        <w:t>Beneficiary</w:t>
      </w:r>
      <w:r w:rsidRPr="009C35C8">
        <w:rPr>
          <w:b/>
        </w:rPr>
        <w:t xml:space="preserve"> </w:t>
      </w:r>
      <w:r w:rsidRPr="009C35C8">
        <w:t>means a person who is enrolled to receive benefits under NHI Bahamas.</w:t>
      </w:r>
    </w:p>
    <w:p w:rsidR="00F93EA3" w:rsidRPr="00F93EA3" w:rsidRDefault="00F93EA3" w:rsidP="000F0E03">
      <w:pPr>
        <w:jc w:val="both"/>
      </w:pPr>
      <w:r>
        <w:rPr>
          <w:b/>
        </w:rPr>
        <w:t>Beneficiary Registry</w:t>
      </w:r>
      <w:r>
        <w:t xml:space="preserve"> means the database of all individuals with an NIB number who may be beneficiaries under NHI Bahamas.</w:t>
      </w:r>
    </w:p>
    <w:p w:rsidR="006E6FA0" w:rsidRDefault="006E6FA0" w:rsidP="006E6FA0">
      <w:pPr>
        <w:jc w:val="both"/>
      </w:pPr>
      <w:r>
        <w:rPr>
          <w:b/>
        </w:rPr>
        <w:t xml:space="preserve">Benefits </w:t>
      </w:r>
      <w:r w:rsidRPr="009C35C8">
        <w:t xml:space="preserve">means the goods and services specified </w:t>
      </w:r>
      <w:r>
        <w:t xml:space="preserve">in the NHI Bahamas Primary Care Benefits Package, which can be found online at </w:t>
      </w:r>
      <w:r w:rsidRPr="00442DEA">
        <w:t>http://www.nhibahamas.gov.bs/whats-covered/</w:t>
      </w:r>
    </w:p>
    <w:p w:rsidR="001929CE" w:rsidRDefault="001929CE" w:rsidP="000F0E03">
      <w:pPr>
        <w:jc w:val="both"/>
      </w:pPr>
      <w:r w:rsidRPr="001929CE">
        <w:rPr>
          <w:b/>
        </w:rPr>
        <w:t>Data</w:t>
      </w:r>
      <w:r>
        <w:t xml:space="preserve"> means information in a form in which it can be processed.</w:t>
      </w:r>
    </w:p>
    <w:p w:rsidR="001929CE" w:rsidRPr="00245F37" w:rsidRDefault="00245F37" w:rsidP="000F0E03">
      <w:pPr>
        <w:jc w:val="both"/>
      </w:pPr>
      <w:r w:rsidRPr="00245F37">
        <w:rPr>
          <w:b/>
        </w:rPr>
        <w:t>Data controller</w:t>
      </w:r>
      <w:r w:rsidR="001929CE">
        <w:t xml:space="preserve"> mean</w:t>
      </w:r>
      <w:r>
        <w:t xml:space="preserve">s a person who, either alone or </w:t>
      </w:r>
      <w:r w:rsidR="001929CE">
        <w:t>with others, de</w:t>
      </w:r>
      <w:r>
        <w:t xml:space="preserve">termines the purposes for which </w:t>
      </w:r>
      <w:r w:rsidR="001929CE">
        <w:t xml:space="preserve">and the manner </w:t>
      </w:r>
      <w:r>
        <w:t>in which any personal data are, or are to be, processed.</w:t>
      </w:r>
    </w:p>
    <w:p w:rsidR="00245F37" w:rsidRDefault="009A50B3" w:rsidP="000F0E03">
      <w:pPr>
        <w:jc w:val="both"/>
      </w:pPr>
      <w:r>
        <w:rPr>
          <w:b/>
        </w:rPr>
        <w:t>Disclosure</w:t>
      </w:r>
      <w:r>
        <w:t xml:space="preserve"> in relation to personal data means</w:t>
      </w:r>
      <w:r w:rsidR="00245F37" w:rsidRPr="00245F37">
        <w:t xml:space="preserve"> the disclosure of information extracted from such data but does not include a disclosure made directly or indirectly by a data controlle</w:t>
      </w:r>
      <w:r>
        <w:t>r to an employee or agent of theirs</w:t>
      </w:r>
      <w:r w:rsidR="00245F37" w:rsidRPr="00245F37">
        <w:t xml:space="preserve"> or to a data processor for the purpose of enabling the employee, agent or</w:t>
      </w:r>
      <w:r>
        <w:t xml:space="preserve"> data processor to carry out their</w:t>
      </w:r>
      <w:r w:rsidR="00245F37" w:rsidRPr="00245F37">
        <w:t xml:space="preserve"> duties; and, where the identification of a data subject depends partly on the data and partly on other information in the possession of the data controller, the data shall not be regarded as disclosed unless the other information is also disclosed.</w:t>
      </w:r>
    </w:p>
    <w:p w:rsidR="004002F4" w:rsidRPr="004002F4" w:rsidRDefault="004002F4" w:rsidP="000F0E03">
      <w:pPr>
        <w:jc w:val="both"/>
        <w:rPr>
          <w:b/>
        </w:rPr>
      </w:pPr>
      <w:r w:rsidRPr="00143BAC">
        <w:rPr>
          <w:b/>
        </w:rPr>
        <w:t>Duty of care</w:t>
      </w:r>
      <w:r>
        <w:rPr>
          <w:b/>
        </w:rPr>
        <w:t xml:space="preserve"> </w:t>
      </w:r>
      <w:r>
        <w:t>means that a person or organization is legally obligated to avoid acting in such a way that may cause harm in any form to others.</w:t>
      </w:r>
      <w:r w:rsidRPr="00143BAC">
        <w:rPr>
          <w:b/>
        </w:rPr>
        <w:t xml:space="preserve"> </w:t>
      </w:r>
    </w:p>
    <w:p w:rsidR="00DB3BD8" w:rsidRPr="00DB3BD8" w:rsidRDefault="00DB3BD8" w:rsidP="000F0E03">
      <w:pPr>
        <w:jc w:val="both"/>
      </w:pPr>
      <w:r>
        <w:rPr>
          <w:b/>
        </w:rPr>
        <w:t xml:space="preserve">Enrolment </w:t>
      </w:r>
      <w:r>
        <w:t>means the business process for acceptance of an individual for health coverage under NHI Bahamas.</w:t>
      </w:r>
    </w:p>
    <w:p w:rsidR="000C07C2" w:rsidRPr="00866647" w:rsidRDefault="003C4515" w:rsidP="000F0E03">
      <w:pPr>
        <w:jc w:val="both"/>
      </w:pPr>
      <w:r w:rsidRPr="00866647">
        <w:rPr>
          <w:b/>
        </w:rPr>
        <w:t>National Health Insurance</w:t>
      </w:r>
      <w:r w:rsidR="000C07C2" w:rsidRPr="00866647">
        <w:rPr>
          <w:b/>
        </w:rPr>
        <w:t xml:space="preserve"> Authority</w:t>
      </w:r>
      <w:r w:rsidR="000C07C2" w:rsidRPr="00866647">
        <w:t xml:space="preserve"> (“NHIA”) means the Authority established under section 4 of the </w:t>
      </w:r>
      <w:r w:rsidR="000C07C2" w:rsidRPr="00866647">
        <w:rPr>
          <w:i/>
        </w:rPr>
        <w:t>National Health Insurance Act</w:t>
      </w:r>
      <w:r w:rsidR="00783995" w:rsidRPr="00866647">
        <w:t>, 2016</w:t>
      </w:r>
      <w:r w:rsidR="000C07C2" w:rsidRPr="00866647">
        <w:t>.</w:t>
      </w:r>
    </w:p>
    <w:p w:rsidR="006E6FA0" w:rsidRDefault="006E6FA0" w:rsidP="006E6FA0">
      <w:pPr>
        <w:spacing w:after="0"/>
        <w:jc w:val="both"/>
      </w:pPr>
      <w:r w:rsidRPr="005B328C">
        <w:rPr>
          <w:b/>
        </w:rPr>
        <w:t>NHI Bahamas</w:t>
      </w:r>
      <w:r w:rsidRPr="005B328C">
        <w:t xml:space="preserve"> means the National Health Insurance Plan</w:t>
      </w:r>
      <w:r>
        <w:t>,</w:t>
      </w:r>
      <w:r w:rsidRPr="005B328C">
        <w:t xml:space="preserve"> established by the </w:t>
      </w:r>
      <w:r w:rsidRPr="005B328C">
        <w:rPr>
          <w:i/>
        </w:rPr>
        <w:t>National Health Insurance Act</w:t>
      </w:r>
      <w:r>
        <w:t>, 2016, that in collaboration with the Ministry of Health:</w:t>
      </w:r>
    </w:p>
    <w:p w:rsidR="006E6FA0" w:rsidRDefault="006E6FA0" w:rsidP="006E6FA0">
      <w:pPr>
        <w:pStyle w:val="ListParagraph"/>
        <w:numPr>
          <w:ilvl w:val="0"/>
          <w:numId w:val="25"/>
        </w:numPr>
        <w:spacing w:before="0"/>
        <w:contextualSpacing w:val="0"/>
        <w:jc w:val="both"/>
      </w:pPr>
      <w:r>
        <w:t>establishes the administrative framework and other necessary mechanisms to enable the provision of equitable, accessible, affordable and quality health care services to all eligible persons for the attainment of universal health coverage;</w:t>
      </w:r>
    </w:p>
    <w:p w:rsidR="006E6FA0" w:rsidRDefault="006E6FA0" w:rsidP="006E6FA0">
      <w:pPr>
        <w:pStyle w:val="ListParagraph"/>
        <w:numPr>
          <w:ilvl w:val="0"/>
          <w:numId w:val="25"/>
        </w:numPr>
        <w:spacing w:before="0"/>
        <w:contextualSpacing w:val="0"/>
        <w:jc w:val="both"/>
      </w:pPr>
      <w:r>
        <w:t>facilitates people-centred health care that meets the needs of the population;</w:t>
      </w:r>
    </w:p>
    <w:p w:rsidR="006E6FA0" w:rsidRDefault="006E6FA0" w:rsidP="006E6FA0">
      <w:pPr>
        <w:pStyle w:val="ListParagraph"/>
        <w:numPr>
          <w:ilvl w:val="0"/>
          <w:numId w:val="25"/>
        </w:numPr>
        <w:spacing w:before="0"/>
        <w:contextualSpacing w:val="0"/>
        <w:jc w:val="both"/>
      </w:pPr>
      <w:r>
        <w:t>provides plurality in the health care system with equal opportunity for public and private-sector participation;</w:t>
      </w:r>
    </w:p>
    <w:p w:rsidR="006E6FA0" w:rsidRDefault="006E6FA0" w:rsidP="006E6FA0">
      <w:pPr>
        <w:pStyle w:val="ListParagraph"/>
        <w:numPr>
          <w:ilvl w:val="0"/>
          <w:numId w:val="25"/>
        </w:numPr>
        <w:spacing w:before="0"/>
        <w:contextualSpacing w:val="0"/>
        <w:jc w:val="both"/>
      </w:pPr>
      <w:r>
        <w:t>promotes efficiency in health care administrative operations; and</w:t>
      </w:r>
    </w:p>
    <w:p w:rsidR="006E6FA0" w:rsidRPr="00866647" w:rsidRDefault="006E6FA0" w:rsidP="006E6FA0">
      <w:pPr>
        <w:pStyle w:val="ListParagraph"/>
        <w:numPr>
          <w:ilvl w:val="0"/>
          <w:numId w:val="25"/>
        </w:numPr>
        <w:spacing w:before="0" w:after="160"/>
        <w:contextualSpacing w:val="0"/>
        <w:jc w:val="both"/>
      </w:pPr>
      <w:r>
        <w:t>enables sustainability through appropriate allocation of resources in health care.</w:t>
      </w:r>
    </w:p>
    <w:p w:rsidR="000C07C2" w:rsidRPr="00866647" w:rsidRDefault="000C07C2" w:rsidP="000F0E03">
      <w:pPr>
        <w:jc w:val="both"/>
      </w:pPr>
      <w:r w:rsidRPr="00866647">
        <w:rPr>
          <w:b/>
        </w:rPr>
        <w:t xml:space="preserve">NHI </w:t>
      </w:r>
      <w:r w:rsidR="008540DF">
        <w:rPr>
          <w:b/>
        </w:rPr>
        <w:t>Act</w:t>
      </w:r>
      <w:r w:rsidR="00353EEA" w:rsidRPr="00866647">
        <w:rPr>
          <w:b/>
        </w:rPr>
        <w:t xml:space="preserve"> </w:t>
      </w:r>
      <w:r w:rsidRPr="00866647">
        <w:t xml:space="preserve">means the </w:t>
      </w:r>
      <w:r w:rsidRPr="00866647">
        <w:rPr>
          <w:i/>
        </w:rPr>
        <w:t>National Health Insurance Act</w:t>
      </w:r>
      <w:r w:rsidRPr="00866647">
        <w:t>, 2016.</w:t>
      </w:r>
    </w:p>
    <w:p w:rsidR="00F93EA3" w:rsidRDefault="00F93EA3" w:rsidP="000F0E03">
      <w:pPr>
        <w:jc w:val="both"/>
      </w:pPr>
      <w:r>
        <w:rPr>
          <w:b/>
        </w:rPr>
        <w:t>National Insurance Board of The Bahamas</w:t>
      </w:r>
      <w:r>
        <w:t xml:space="preserve"> (“NIB”) means the organization charged with administering the National Insurance programme established by the</w:t>
      </w:r>
      <w:r w:rsidRPr="00F93EA3">
        <w:t xml:space="preserve"> </w:t>
      </w:r>
      <w:r w:rsidRPr="00F93EA3">
        <w:rPr>
          <w:i/>
        </w:rPr>
        <w:t>National Insurance Act</w:t>
      </w:r>
      <w:r w:rsidRPr="00F93EA3">
        <w:t>, 1972</w:t>
      </w:r>
      <w:r>
        <w:t>.</w:t>
      </w:r>
    </w:p>
    <w:p w:rsidR="00C62386" w:rsidRDefault="00C62386" w:rsidP="00C62386">
      <w:pPr>
        <w:jc w:val="both"/>
      </w:pPr>
      <w:r>
        <w:rPr>
          <w:b/>
        </w:rPr>
        <w:t xml:space="preserve">National Insurance number </w:t>
      </w:r>
      <w:r>
        <w:t>(“NI number”) means the unique numerical code found on an individual’s NIB Smart Card that identifies its named holder.</w:t>
      </w:r>
    </w:p>
    <w:p w:rsidR="00C62386" w:rsidRPr="00F93EA3" w:rsidRDefault="00C62386" w:rsidP="00C62386">
      <w:pPr>
        <w:jc w:val="both"/>
      </w:pPr>
      <w:r>
        <w:rPr>
          <w:b/>
        </w:rPr>
        <w:t xml:space="preserve">NIB Registration Data </w:t>
      </w:r>
      <w:r>
        <w:t>means personal information about individuals registered with the NIB – including the NI number – that is relevant for NHI Bahamas enrolment purposes.</w:t>
      </w:r>
    </w:p>
    <w:p w:rsidR="00C62386" w:rsidRPr="003E090F" w:rsidRDefault="00C62386" w:rsidP="00C62386">
      <w:pPr>
        <w:jc w:val="both"/>
      </w:pPr>
      <w:r>
        <w:rPr>
          <w:b/>
        </w:rPr>
        <w:t>NIB Smart Card</w:t>
      </w:r>
      <w:r>
        <w:t xml:space="preserve"> means the electronically readable card issued by the NIB that provides validation that the individual to whom it is issued is registered with the NIB.</w:t>
      </w:r>
    </w:p>
    <w:p w:rsidR="003C1D9C" w:rsidRDefault="003C1D9C" w:rsidP="000F0E03">
      <w:pPr>
        <w:jc w:val="both"/>
      </w:pPr>
      <w:r w:rsidRPr="003C1D9C">
        <w:rPr>
          <w:b/>
        </w:rPr>
        <w:t>Personal data</w:t>
      </w:r>
      <w:r>
        <w:t xml:space="preserve"> means data relating to a living individual who can be identified either from the data or from the data in conjunction with other information in the possession of the data controller.</w:t>
      </w:r>
    </w:p>
    <w:p w:rsidR="00F323A6" w:rsidRDefault="00F323A6" w:rsidP="00F323A6">
      <w:pPr>
        <w:spacing w:after="0"/>
        <w:jc w:val="both"/>
      </w:pPr>
      <w:r>
        <w:rPr>
          <w:b/>
        </w:rPr>
        <w:t>Personal health information</w:t>
      </w:r>
      <w:r>
        <w:t xml:space="preserve"> means identifying information about an individual in oral or recorded form, including information that:</w:t>
      </w:r>
    </w:p>
    <w:p w:rsidR="00F323A6" w:rsidRDefault="00F323A6" w:rsidP="00F323A6">
      <w:pPr>
        <w:pStyle w:val="ListParagraph"/>
        <w:numPr>
          <w:ilvl w:val="0"/>
          <w:numId w:val="21"/>
        </w:numPr>
        <w:spacing w:before="0"/>
        <w:jc w:val="both"/>
      </w:pPr>
      <w:r>
        <w:t>Relates to the physical or mental health of the individual, including information that consists of the health history of the individual’s family;</w:t>
      </w:r>
    </w:p>
    <w:p w:rsidR="00F323A6" w:rsidRDefault="00F323A6" w:rsidP="00F323A6">
      <w:pPr>
        <w:pStyle w:val="ListParagraph"/>
        <w:numPr>
          <w:ilvl w:val="0"/>
          <w:numId w:val="21"/>
        </w:numPr>
        <w:spacing w:before="0"/>
        <w:jc w:val="both"/>
      </w:pPr>
      <w:r>
        <w:t>Relates to the providing of health care to the individual, including the identification of a person as a provider of health care services to the individual;</w:t>
      </w:r>
    </w:p>
    <w:p w:rsidR="00F323A6" w:rsidRDefault="00F323A6" w:rsidP="00F323A6">
      <w:pPr>
        <w:pStyle w:val="ListParagraph"/>
        <w:numPr>
          <w:ilvl w:val="0"/>
          <w:numId w:val="21"/>
        </w:numPr>
        <w:spacing w:before="0"/>
        <w:jc w:val="both"/>
      </w:pPr>
      <w:r>
        <w:t>Relates to the individual’s eligibility and/or ability to pay for different levels of health care coverage</w:t>
      </w:r>
      <w:r w:rsidR="006B31D2">
        <w:t>, including any past, present, or future payments for the provision of health care to the individual</w:t>
      </w:r>
      <w:r>
        <w:t>; or</w:t>
      </w:r>
    </w:p>
    <w:p w:rsidR="00F323A6" w:rsidRPr="00F323A6" w:rsidRDefault="00F323A6" w:rsidP="00F323A6">
      <w:pPr>
        <w:pStyle w:val="ListParagraph"/>
        <w:numPr>
          <w:ilvl w:val="0"/>
          <w:numId w:val="21"/>
        </w:numPr>
        <w:spacing w:before="0" w:after="160"/>
        <w:ind w:left="763"/>
        <w:jc w:val="both"/>
      </w:pPr>
      <w:r>
        <w:t>Relates to any findings derived from the testing or examination of any body part or bodily substance of the individual.</w:t>
      </w:r>
    </w:p>
    <w:p w:rsidR="003C1D9C" w:rsidRDefault="003C1D9C" w:rsidP="000F0E03">
      <w:pPr>
        <w:spacing w:after="0"/>
        <w:jc w:val="both"/>
      </w:pPr>
      <w:r w:rsidRPr="003C1D9C">
        <w:rPr>
          <w:b/>
        </w:rPr>
        <w:t>Processing</w:t>
      </w:r>
      <w:r>
        <w:t xml:space="preserve"> in relation to information or data means obtaining, recording or holding the information or data or carrying out any operation or set of operations on the information or data, including —</w:t>
      </w:r>
    </w:p>
    <w:p w:rsidR="003C1D9C" w:rsidRDefault="003C1D9C" w:rsidP="00617908">
      <w:pPr>
        <w:pStyle w:val="ListParagraph"/>
        <w:numPr>
          <w:ilvl w:val="0"/>
          <w:numId w:val="3"/>
        </w:numPr>
        <w:spacing w:before="0"/>
        <w:jc w:val="both"/>
      </w:pPr>
      <w:r>
        <w:t>organization, adaptation or alteration of the information or data;</w:t>
      </w:r>
    </w:p>
    <w:p w:rsidR="003C1D9C" w:rsidRDefault="003C1D9C" w:rsidP="00617908">
      <w:pPr>
        <w:pStyle w:val="ListParagraph"/>
        <w:numPr>
          <w:ilvl w:val="0"/>
          <w:numId w:val="3"/>
        </w:numPr>
        <w:jc w:val="both"/>
      </w:pPr>
      <w:r>
        <w:t>retrieval, consultation or use of the information or data;</w:t>
      </w:r>
    </w:p>
    <w:p w:rsidR="003C1D9C" w:rsidRDefault="003C1D9C" w:rsidP="00617908">
      <w:pPr>
        <w:pStyle w:val="ListParagraph"/>
        <w:numPr>
          <w:ilvl w:val="0"/>
          <w:numId w:val="3"/>
        </w:numPr>
        <w:jc w:val="both"/>
      </w:pPr>
      <w:r>
        <w:t>transmission of data;</w:t>
      </w:r>
    </w:p>
    <w:p w:rsidR="003C1D9C" w:rsidRDefault="003C1D9C" w:rsidP="00617908">
      <w:pPr>
        <w:pStyle w:val="ListParagraph"/>
        <w:numPr>
          <w:ilvl w:val="0"/>
          <w:numId w:val="3"/>
        </w:numPr>
        <w:jc w:val="both"/>
      </w:pPr>
      <w:r>
        <w:t>dissemination or otherwise making available; or</w:t>
      </w:r>
    </w:p>
    <w:p w:rsidR="003C1D9C" w:rsidRDefault="003C1D9C" w:rsidP="00617908">
      <w:pPr>
        <w:pStyle w:val="ListParagraph"/>
        <w:numPr>
          <w:ilvl w:val="0"/>
          <w:numId w:val="3"/>
        </w:numPr>
        <w:spacing w:before="0" w:after="160"/>
        <w:jc w:val="both"/>
      </w:pPr>
      <w:r>
        <w:t>alignment, combination, blocking, erasure or destruction of the information or data.</w:t>
      </w:r>
    </w:p>
    <w:p w:rsidR="0001230B" w:rsidRPr="00866647" w:rsidRDefault="0001230B" w:rsidP="000F0E03">
      <w:pPr>
        <w:jc w:val="both"/>
      </w:pPr>
      <w:r w:rsidRPr="00866647">
        <w:rPr>
          <w:b/>
        </w:rPr>
        <w:t>Primary health care</w:t>
      </w:r>
      <w:r w:rsidRPr="00866647">
        <w:t xml:space="preserve"> means the outpatient, first level of health care that focuses on prevention, an</w:t>
      </w:r>
      <w:r w:rsidR="003C4515" w:rsidRPr="00866647">
        <w:t xml:space="preserve">d addresses and coordinates </w:t>
      </w:r>
      <w:r w:rsidRPr="00866647">
        <w:t>essential health needs.</w:t>
      </w:r>
    </w:p>
    <w:p w:rsidR="000C07C2" w:rsidRPr="00866647" w:rsidRDefault="005344A4" w:rsidP="000F0E03">
      <w:pPr>
        <w:jc w:val="both"/>
      </w:pPr>
      <w:r w:rsidRPr="00866647">
        <w:rPr>
          <w:b/>
        </w:rPr>
        <w:t>Provider</w:t>
      </w:r>
      <w:r w:rsidR="005628B7" w:rsidRPr="00866647">
        <w:rPr>
          <w:b/>
        </w:rPr>
        <w:t xml:space="preserve"> </w:t>
      </w:r>
      <w:r w:rsidR="000C07C2" w:rsidRPr="00866647">
        <w:t>means a licensed entity</w:t>
      </w:r>
      <w:r w:rsidR="007867F9" w:rsidRPr="00866647">
        <w:t xml:space="preserve"> (</w:t>
      </w:r>
      <w:r w:rsidR="00195F25" w:rsidRPr="00866647">
        <w:t xml:space="preserve">corporate </w:t>
      </w:r>
      <w:r w:rsidR="007867F9" w:rsidRPr="00866647">
        <w:t>or unincorporated)</w:t>
      </w:r>
      <w:r w:rsidR="000C07C2" w:rsidRPr="00866647">
        <w:t xml:space="preserve"> approved by the NHIA to </w:t>
      </w:r>
      <w:r w:rsidR="005D3016" w:rsidRPr="00866647">
        <w:t xml:space="preserve">provide </w:t>
      </w:r>
      <w:r w:rsidR="000C07C2" w:rsidRPr="00866647">
        <w:t>health ca</w:t>
      </w:r>
      <w:r w:rsidR="005628B7" w:rsidRPr="00866647">
        <w:t>re services for</w:t>
      </w:r>
      <w:r w:rsidR="000C07C2" w:rsidRPr="00866647">
        <w:t xml:space="preserve"> </w:t>
      </w:r>
      <w:r w:rsidR="005628B7" w:rsidRPr="00866647">
        <w:t>beneficiaries</w:t>
      </w:r>
      <w:r w:rsidR="000C07C2" w:rsidRPr="00866647">
        <w:t xml:space="preserve"> under NHI Bahamas.</w:t>
      </w:r>
      <w:r w:rsidR="00CE6ADF" w:rsidRPr="00866647">
        <w:t xml:space="preserve"> </w:t>
      </w:r>
    </w:p>
    <w:p w:rsidR="007D4D24" w:rsidRDefault="007D4D24" w:rsidP="000F0E03">
      <w:pPr>
        <w:spacing w:after="0"/>
        <w:jc w:val="both"/>
      </w:pPr>
      <w:r w:rsidRPr="007D4D24">
        <w:rPr>
          <w:b/>
        </w:rPr>
        <w:t>Sensitive personal data</w:t>
      </w:r>
      <w:r>
        <w:t xml:space="preserve"> means personal data relating to —</w:t>
      </w:r>
    </w:p>
    <w:p w:rsidR="0035490B" w:rsidRDefault="0035490B" w:rsidP="00617908">
      <w:pPr>
        <w:pStyle w:val="ListParagraph"/>
        <w:numPr>
          <w:ilvl w:val="0"/>
          <w:numId w:val="4"/>
        </w:numPr>
        <w:spacing w:before="0"/>
        <w:jc w:val="both"/>
      </w:pPr>
      <w:r>
        <w:t>personal identification information, including address, gender, phone number, date of birth, email address,</w:t>
      </w:r>
      <w:r w:rsidR="001434DF">
        <w:t xml:space="preserve"> identifying social media names/handles and</w:t>
      </w:r>
      <w:r>
        <w:t xml:space="preserve"> financial data</w:t>
      </w:r>
      <w:r w:rsidR="001434DF">
        <w:t>;</w:t>
      </w:r>
    </w:p>
    <w:p w:rsidR="007D4D24" w:rsidRDefault="007D4D24" w:rsidP="00617908">
      <w:pPr>
        <w:pStyle w:val="ListParagraph"/>
        <w:numPr>
          <w:ilvl w:val="0"/>
          <w:numId w:val="4"/>
        </w:numPr>
        <w:spacing w:before="0"/>
        <w:jc w:val="both"/>
      </w:pPr>
      <w:r>
        <w:t>racial origin;</w:t>
      </w:r>
    </w:p>
    <w:p w:rsidR="00A361EB" w:rsidRDefault="00A361EB" w:rsidP="00617908">
      <w:pPr>
        <w:pStyle w:val="ListParagraph"/>
        <w:numPr>
          <w:ilvl w:val="0"/>
          <w:numId w:val="4"/>
        </w:numPr>
        <w:spacing w:before="0"/>
        <w:jc w:val="both"/>
      </w:pPr>
      <w:r>
        <w:t>country of origin;</w:t>
      </w:r>
    </w:p>
    <w:p w:rsidR="007D4D24" w:rsidRDefault="007D4D24" w:rsidP="00617908">
      <w:pPr>
        <w:pStyle w:val="ListParagraph"/>
        <w:numPr>
          <w:ilvl w:val="0"/>
          <w:numId w:val="4"/>
        </w:numPr>
        <w:jc w:val="both"/>
      </w:pPr>
      <w:r>
        <w:t>political opinions or religious or other beliefs;</w:t>
      </w:r>
    </w:p>
    <w:p w:rsidR="007D4D24" w:rsidRDefault="007D4D24" w:rsidP="00617908">
      <w:pPr>
        <w:pStyle w:val="ListParagraph"/>
        <w:numPr>
          <w:ilvl w:val="0"/>
          <w:numId w:val="4"/>
        </w:numPr>
        <w:jc w:val="both"/>
      </w:pPr>
      <w:r>
        <w:t xml:space="preserve">physical or mental health (other than any such data reasonably kept by </w:t>
      </w:r>
      <w:r w:rsidR="00354C87">
        <w:t>an employer</w:t>
      </w:r>
      <w:r>
        <w:t xml:space="preserve"> in relation to the physical or mental health of their employees in the ordinary course of personnel administration and not used or disclosed for any other purpose);</w:t>
      </w:r>
    </w:p>
    <w:p w:rsidR="006B31D2" w:rsidRDefault="006B31D2" w:rsidP="00617908">
      <w:pPr>
        <w:pStyle w:val="ListParagraph"/>
        <w:numPr>
          <w:ilvl w:val="0"/>
          <w:numId w:val="4"/>
        </w:numPr>
        <w:jc w:val="both"/>
      </w:pPr>
      <w:r>
        <w:t xml:space="preserve">personal health information (defined </w:t>
      </w:r>
      <w:r w:rsidR="003947FA">
        <w:t>above</w:t>
      </w:r>
      <w:r>
        <w:t>);</w:t>
      </w:r>
    </w:p>
    <w:p w:rsidR="007D4D24" w:rsidRDefault="007D4D24" w:rsidP="00617908">
      <w:pPr>
        <w:pStyle w:val="ListParagraph"/>
        <w:numPr>
          <w:ilvl w:val="0"/>
          <w:numId w:val="4"/>
        </w:numPr>
        <w:jc w:val="both"/>
      </w:pPr>
      <w:r>
        <w:t>trade union involvement or activities;</w:t>
      </w:r>
    </w:p>
    <w:p w:rsidR="007D4D24" w:rsidRDefault="007D4D24" w:rsidP="00617908">
      <w:pPr>
        <w:pStyle w:val="ListParagraph"/>
        <w:numPr>
          <w:ilvl w:val="0"/>
          <w:numId w:val="4"/>
        </w:numPr>
        <w:jc w:val="both"/>
      </w:pPr>
      <w:r>
        <w:t>sexual life; or</w:t>
      </w:r>
    </w:p>
    <w:p w:rsidR="007D4D24" w:rsidRDefault="007D4D24" w:rsidP="0035490B">
      <w:pPr>
        <w:pStyle w:val="ListParagraph"/>
        <w:numPr>
          <w:ilvl w:val="0"/>
          <w:numId w:val="4"/>
        </w:numPr>
        <w:jc w:val="both"/>
      </w:pPr>
      <w:r>
        <w:t>criminal convictions, the commission or alleged commission of any offence, or any proceedings for any offence committed, the disposal of such proceedings or the sentence of any court in such proceedings</w:t>
      </w:r>
      <w:r w:rsidR="0035490B">
        <w:t xml:space="preserve">; and </w:t>
      </w:r>
    </w:p>
    <w:p w:rsidR="0035490B" w:rsidRPr="00866647" w:rsidRDefault="0035490B" w:rsidP="0035490B">
      <w:pPr>
        <w:pStyle w:val="ListParagraph"/>
        <w:numPr>
          <w:ilvl w:val="0"/>
          <w:numId w:val="4"/>
        </w:numPr>
        <w:jc w:val="both"/>
      </w:pPr>
      <w:r>
        <w:t>Any other pieces of data that may serve to directly identify an individual</w:t>
      </w:r>
    </w:p>
    <w:p w:rsidR="009A74BB" w:rsidRPr="008D5D54" w:rsidRDefault="009A3C65" w:rsidP="00896DEC">
      <w:pPr>
        <w:pStyle w:val="Heading1"/>
        <w:ind w:left="540" w:hanging="540"/>
      </w:pPr>
      <w:bookmarkStart w:id="3" w:name="_Toc480438281"/>
      <w:r w:rsidRPr="008D5D54">
        <w:t>Ov</w:t>
      </w:r>
      <w:r w:rsidR="00D35620" w:rsidRPr="008D5D54">
        <w:t>erview</w:t>
      </w:r>
      <w:r w:rsidR="004C1A51" w:rsidRPr="008D5D54">
        <w:t xml:space="preserve"> of NHI Bahamas</w:t>
      </w:r>
      <w:bookmarkEnd w:id="3"/>
    </w:p>
    <w:p w:rsidR="00C62386" w:rsidRPr="00B31048" w:rsidRDefault="00C62386" w:rsidP="00C62386">
      <w:pPr>
        <w:jc w:val="both"/>
        <w:rPr>
          <w:lang w:val="en-GB"/>
        </w:rPr>
      </w:pPr>
      <w:r>
        <w:rPr>
          <w:lang w:val="en-GB"/>
        </w:rPr>
        <w:t xml:space="preserve">NHI Bahamas </w:t>
      </w:r>
      <w:r w:rsidRPr="00B31048">
        <w:rPr>
          <w:lang w:val="en-GB"/>
        </w:rPr>
        <w:t>provide</w:t>
      </w:r>
      <w:r>
        <w:rPr>
          <w:lang w:val="en-GB"/>
        </w:rPr>
        <w:t>s</w:t>
      </w:r>
      <w:r w:rsidRPr="00B31048">
        <w:rPr>
          <w:lang w:val="en-GB"/>
        </w:rPr>
        <w:t xml:space="preserve"> access to quality health care services for </w:t>
      </w:r>
      <w:r>
        <w:rPr>
          <w:lang w:val="en-GB"/>
        </w:rPr>
        <w:t xml:space="preserve">Bahamian citizens or </w:t>
      </w:r>
      <w:r w:rsidRPr="00B31048">
        <w:rPr>
          <w:lang w:val="en-GB"/>
        </w:rPr>
        <w:t>legal residents who meet statutory eligibility requiremen</w:t>
      </w:r>
      <w:r>
        <w:rPr>
          <w:lang w:val="en-GB"/>
        </w:rPr>
        <w:t xml:space="preserve">ts, including the possession of an NIB </w:t>
      </w:r>
      <w:r w:rsidRPr="00B31048">
        <w:rPr>
          <w:lang w:val="en-GB"/>
        </w:rPr>
        <w:t xml:space="preserve">Smart Card and the ability to demonstrate </w:t>
      </w:r>
      <w:r>
        <w:rPr>
          <w:lang w:val="en-GB"/>
        </w:rPr>
        <w:t>that they were legally resident in The Bahamas</w:t>
      </w:r>
      <w:r w:rsidRPr="00B31048">
        <w:rPr>
          <w:lang w:val="en-GB"/>
        </w:rPr>
        <w:t xml:space="preserve"> within the preceding six months.</w:t>
      </w:r>
    </w:p>
    <w:p w:rsidR="00C62386" w:rsidRDefault="00C62386" w:rsidP="00C62386">
      <w:pPr>
        <w:jc w:val="both"/>
      </w:pPr>
      <w:r w:rsidRPr="00B31048">
        <w:rPr>
          <w:lang w:val="en-GB"/>
        </w:rPr>
        <w:t>NHI Bahamas will be implemented in stages, beginning with primary health care</w:t>
      </w:r>
      <w:r>
        <w:t>.</w:t>
      </w:r>
    </w:p>
    <w:p w:rsidR="00C62386" w:rsidRDefault="00C62386" w:rsidP="00C62386">
      <w:pPr>
        <w:jc w:val="both"/>
      </w:pPr>
      <w:r>
        <w:t>Eligible individuals</w:t>
      </w:r>
      <w:r w:rsidRPr="00866647">
        <w:t xml:space="preserve"> </w:t>
      </w:r>
      <w:r>
        <w:t>are</w:t>
      </w:r>
      <w:r w:rsidRPr="00866647">
        <w:t xml:space="preserve"> required to enrol in NHI Bahamas to access covered </w:t>
      </w:r>
      <w:r>
        <w:t>services as beneficiaries. Covered services are described</w:t>
      </w:r>
      <w:r w:rsidRPr="00976C50">
        <w:t xml:space="preserve"> in the</w:t>
      </w:r>
      <w:r>
        <w:t xml:space="preserve"> NHI Bahamas Primary Care Benefits Package, which is available on the NHI Bahamas website at </w:t>
      </w:r>
      <w:r w:rsidRPr="00442DEA">
        <w:t>http://www.nhibahamas.gov.bs/whats-covered/</w:t>
      </w:r>
    </w:p>
    <w:p w:rsidR="00C62386" w:rsidRPr="00B31048" w:rsidRDefault="00C62386" w:rsidP="00C62386">
      <w:pPr>
        <w:spacing w:after="0"/>
        <w:jc w:val="both"/>
        <w:rPr>
          <w:lang w:val="en-GB"/>
        </w:rPr>
      </w:pPr>
      <w:r>
        <w:rPr>
          <w:lang w:val="en-GB"/>
        </w:rPr>
        <w:t>C</w:t>
      </w:r>
      <w:r w:rsidRPr="00B31048">
        <w:rPr>
          <w:lang w:val="en-GB"/>
        </w:rPr>
        <w:t>overe</w:t>
      </w:r>
      <w:r>
        <w:rPr>
          <w:lang w:val="en-GB"/>
        </w:rPr>
        <w:t>d services will be delivered by:</w:t>
      </w:r>
    </w:p>
    <w:p w:rsidR="00C62386" w:rsidRPr="00B31048" w:rsidRDefault="00C62386" w:rsidP="00C62386">
      <w:pPr>
        <w:pStyle w:val="ListParagraph"/>
        <w:numPr>
          <w:ilvl w:val="0"/>
          <w:numId w:val="26"/>
        </w:numPr>
        <w:spacing w:before="0"/>
        <w:ind w:left="346" w:hanging="346"/>
        <w:contextualSpacing w:val="0"/>
        <w:jc w:val="both"/>
        <w:rPr>
          <w:lang w:val="en-GB"/>
        </w:rPr>
      </w:pPr>
      <w:r w:rsidRPr="00B31048">
        <w:rPr>
          <w:lang w:val="en-GB"/>
        </w:rPr>
        <w:t>primary care medical professionals (e.g., physicians, nurses);</w:t>
      </w:r>
    </w:p>
    <w:p w:rsidR="00C62386" w:rsidRPr="00B31048" w:rsidRDefault="00C62386" w:rsidP="00C62386">
      <w:pPr>
        <w:pStyle w:val="ListParagraph"/>
        <w:numPr>
          <w:ilvl w:val="0"/>
          <w:numId w:val="26"/>
        </w:numPr>
        <w:spacing w:before="0"/>
        <w:contextualSpacing w:val="0"/>
        <w:jc w:val="both"/>
        <w:rPr>
          <w:lang w:val="en-GB"/>
        </w:rPr>
      </w:pPr>
      <w:r w:rsidRPr="00B31048">
        <w:rPr>
          <w:lang w:val="en-GB"/>
        </w:rPr>
        <w:t>pharmacists;</w:t>
      </w:r>
    </w:p>
    <w:p w:rsidR="00C62386" w:rsidRPr="00B31048" w:rsidRDefault="00C62386" w:rsidP="00C62386">
      <w:pPr>
        <w:pStyle w:val="ListParagraph"/>
        <w:numPr>
          <w:ilvl w:val="0"/>
          <w:numId w:val="26"/>
        </w:numPr>
        <w:spacing w:before="0"/>
        <w:contextualSpacing w:val="0"/>
        <w:jc w:val="both"/>
        <w:rPr>
          <w:lang w:val="en-GB"/>
        </w:rPr>
      </w:pPr>
      <w:r w:rsidRPr="00B31048">
        <w:rPr>
          <w:lang w:val="en-GB"/>
        </w:rPr>
        <w:t>diagnostic imaging professionals; and</w:t>
      </w:r>
    </w:p>
    <w:p w:rsidR="00C62386" w:rsidRDefault="00C62386" w:rsidP="00C62386">
      <w:pPr>
        <w:pStyle w:val="ListParagraph"/>
        <w:numPr>
          <w:ilvl w:val="0"/>
          <w:numId w:val="26"/>
        </w:numPr>
        <w:spacing w:before="0" w:after="160"/>
        <w:ind w:left="346" w:hanging="346"/>
        <w:contextualSpacing w:val="0"/>
        <w:jc w:val="both"/>
        <w:rPr>
          <w:lang w:val="en-GB"/>
        </w:rPr>
      </w:pPr>
      <w:r w:rsidRPr="00B31048">
        <w:rPr>
          <w:lang w:val="en-GB"/>
        </w:rPr>
        <w:t>laboratory professionals.</w:t>
      </w:r>
    </w:p>
    <w:p w:rsidR="00C62386" w:rsidRPr="00110573" w:rsidRDefault="00C62386" w:rsidP="00C62386">
      <w:pPr>
        <w:jc w:val="both"/>
        <w:rPr>
          <w:lang w:val="en-GB"/>
        </w:rPr>
      </w:pPr>
      <w:r>
        <w:rPr>
          <w:lang w:val="en-GB"/>
        </w:rPr>
        <w:t>Participating primary care physicians associated with a registered primary care Provider facility will be responsible for coordinating the delivery of covered services to beneficiaries.</w:t>
      </w:r>
    </w:p>
    <w:p w:rsidR="00C62386" w:rsidRPr="00B31048" w:rsidRDefault="00C62386" w:rsidP="00C62386">
      <w:pPr>
        <w:spacing w:after="0" w:line="240" w:lineRule="auto"/>
        <w:jc w:val="both"/>
        <w:rPr>
          <w:lang w:val="en-GB"/>
        </w:rPr>
      </w:pPr>
      <w:r w:rsidRPr="00B31048">
        <w:rPr>
          <w:lang w:val="en-GB"/>
        </w:rPr>
        <w:t>During enrolment, beneficiaries will select:</w:t>
      </w:r>
    </w:p>
    <w:p w:rsidR="00C62386" w:rsidRPr="00B31048" w:rsidRDefault="00C62386" w:rsidP="00C62386">
      <w:pPr>
        <w:pStyle w:val="ListParagraph"/>
        <w:numPr>
          <w:ilvl w:val="0"/>
          <w:numId w:val="27"/>
        </w:numPr>
        <w:spacing w:before="0"/>
        <w:contextualSpacing w:val="0"/>
        <w:jc w:val="both"/>
        <w:rPr>
          <w:lang w:val="en-GB"/>
        </w:rPr>
      </w:pPr>
      <w:r w:rsidRPr="00B31048">
        <w:rPr>
          <w:lang w:val="en-GB"/>
        </w:rPr>
        <w:t>a primary care Provider facility;</w:t>
      </w:r>
      <w:r>
        <w:rPr>
          <w:lang w:val="en-GB"/>
        </w:rPr>
        <w:t xml:space="preserve"> and</w:t>
      </w:r>
    </w:p>
    <w:p w:rsidR="00C62386" w:rsidRPr="00733BD8" w:rsidRDefault="00C62386" w:rsidP="00C62386">
      <w:pPr>
        <w:pStyle w:val="ListParagraph"/>
        <w:numPr>
          <w:ilvl w:val="0"/>
          <w:numId w:val="27"/>
        </w:numPr>
        <w:spacing w:before="0" w:after="160"/>
        <w:contextualSpacing w:val="0"/>
        <w:jc w:val="both"/>
        <w:rPr>
          <w:lang w:val="en-GB"/>
        </w:rPr>
      </w:pPr>
      <w:r w:rsidRPr="00B31048">
        <w:rPr>
          <w:lang w:val="en-GB"/>
        </w:rPr>
        <w:t xml:space="preserve">a primary care physician associated </w:t>
      </w:r>
      <w:r>
        <w:rPr>
          <w:lang w:val="en-GB"/>
        </w:rPr>
        <w:t>with that Provider facility.</w:t>
      </w:r>
    </w:p>
    <w:p w:rsidR="00C62386" w:rsidRPr="00B31048" w:rsidRDefault="00C62386" w:rsidP="00C62386">
      <w:pPr>
        <w:jc w:val="both"/>
        <w:rPr>
          <w:lang w:val="en-GB"/>
        </w:rPr>
      </w:pPr>
      <w:r>
        <w:rPr>
          <w:lang w:val="en-GB"/>
        </w:rPr>
        <w:t>P</w:t>
      </w:r>
      <w:r w:rsidRPr="00B31048">
        <w:rPr>
          <w:lang w:val="en-GB"/>
        </w:rPr>
        <w:t xml:space="preserve">re-existing </w:t>
      </w:r>
      <w:r>
        <w:rPr>
          <w:lang w:val="en-GB"/>
        </w:rPr>
        <w:t xml:space="preserve">medical </w:t>
      </w:r>
      <w:r w:rsidRPr="00B31048">
        <w:rPr>
          <w:lang w:val="en-GB"/>
        </w:rPr>
        <w:t xml:space="preserve">conditions </w:t>
      </w:r>
      <w:r>
        <w:rPr>
          <w:lang w:val="en-GB"/>
        </w:rPr>
        <w:t>cannot disqualify an individual from</w:t>
      </w:r>
      <w:r w:rsidRPr="00B31048">
        <w:rPr>
          <w:lang w:val="en-GB"/>
        </w:rPr>
        <w:t xml:space="preserve"> enrolmen</w:t>
      </w:r>
      <w:r>
        <w:rPr>
          <w:lang w:val="en-GB"/>
        </w:rPr>
        <w:t>t in NHI Bahamas, and there is</w:t>
      </w:r>
      <w:r w:rsidRPr="00B31048">
        <w:rPr>
          <w:lang w:val="en-GB"/>
        </w:rPr>
        <w:t xml:space="preserve"> no w</w:t>
      </w:r>
      <w:r>
        <w:rPr>
          <w:lang w:val="en-GB"/>
        </w:rPr>
        <w:t>aiting period to enrol for eligible individuals</w:t>
      </w:r>
      <w:r w:rsidRPr="00B31048">
        <w:rPr>
          <w:lang w:val="en-GB"/>
        </w:rPr>
        <w:t xml:space="preserve"> with pre-existing conditions. NHI Bahamas guarantees the ability to </w:t>
      </w:r>
      <w:r>
        <w:rPr>
          <w:lang w:val="en-GB"/>
        </w:rPr>
        <w:t>maintain</w:t>
      </w:r>
      <w:r w:rsidRPr="00B31048">
        <w:rPr>
          <w:lang w:val="en-GB"/>
        </w:rPr>
        <w:t xml:space="preserve"> </w:t>
      </w:r>
      <w:r>
        <w:rPr>
          <w:lang w:val="en-GB"/>
        </w:rPr>
        <w:t>eligible beneficiaries’ National Health Insurance coverage</w:t>
      </w:r>
      <w:r w:rsidRPr="00B31048">
        <w:rPr>
          <w:lang w:val="en-GB"/>
        </w:rPr>
        <w:t xml:space="preserve"> </w:t>
      </w:r>
      <w:r>
        <w:rPr>
          <w:lang w:val="en-GB"/>
        </w:rPr>
        <w:t>regardless of diagnose</w:t>
      </w:r>
      <w:r w:rsidRPr="00B31048">
        <w:rPr>
          <w:lang w:val="en-GB"/>
        </w:rPr>
        <w:t>s or amount of care required. There is no lifetime maximum benefit amount</w:t>
      </w:r>
      <w:r>
        <w:rPr>
          <w:lang w:val="en-GB"/>
        </w:rPr>
        <w:t xml:space="preserve"> of coverage</w:t>
      </w:r>
      <w:r w:rsidRPr="00B31048">
        <w:rPr>
          <w:lang w:val="en-GB"/>
        </w:rPr>
        <w:t>.</w:t>
      </w:r>
    </w:p>
    <w:p w:rsidR="00C62386" w:rsidRPr="00B31048" w:rsidRDefault="00C62386" w:rsidP="00C62386">
      <w:pPr>
        <w:jc w:val="both"/>
        <w:rPr>
          <w:lang w:val="en-GB"/>
        </w:rPr>
      </w:pPr>
      <w:r w:rsidRPr="00B31048">
        <w:rPr>
          <w:lang w:val="en-GB"/>
        </w:rPr>
        <w:t>F</w:t>
      </w:r>
      <w:r>
        <w:rPr>
          <w:lang w:val="en-GB"/>
        </w:rPr>
        <w:t>or non-covered services</w:t>
      </w:r>
      <w:r w:rsidRPr="00B31048">
        <w:rPr>
          <w:lang w:val="en-GB"/>
        </w:rPr>
        <w:t>, individuals will continue to access care as they would today – for example, through existing publi</w:t>
      </w:r>
      <w:r>
        <w:rPr>
          <w:lang w:val="en-GB"/>
        </w:rPr>
        <w:t xml:space="preserve">c funding mechanisms, </w:t>
      </w:r>
      <w:r w:rsidRPr="00B31048">
        <w:rPr>
          <w:lang w:val="en-GB"/>
        </w:rPr>
        <w:t>private health insurance</w:t>
      </w:r>
      <w:r>
        <w:rPr>
          <w:lang w:val="en-GB"/>
        </w:rPr>
        <w:t>, out-of-pocket payments</w:t>
      </w:r>
      <w:r w:rsidRPr="00B31048">
        <w:rPr>
          <w:lang w:val="en-GB"/>
        </w:rPr>
        <w:t xml:space="preserve"> or other means. Workplace-related injuries, industrial accidents and occupational diseases will continue to be covered by the NIB.</w:t>
      </w:r>
    </w:p>
    <w:p w:rsidR="006E6FA0" w:rsidRPr="00B31048" w:rsidRDefault="00C62386" w:rsidP="00C62386">
      <w:pPr>
        <w:jc w:val="both"/>
        <w:rPr>
          <w:lang w:val="en-GB"/>
        </w:rPr>
      </w:pPr>
      <w:r>
        <w:rPr>
          <w:lang w:val="en-GB"/>
        </w:rPr>
        <w:t>If an individual is covered by private health insurance</w:t>
      </w:r>
      <w:r w:rsidRPr="00B31048">
        <w:rPr>
          <w:lang w:val="en-GB"/>
        </w:rPr>
        <w:t xml:space="preserve">, they </w:t>
      </w:r>
      <w:r>
        <w:rPr>
          <w:lang w:val="en-GB"/>
        </w:rPr>
        <w:t>are</w:t>
      </w:r>
      <w:r w:rsidRPr="00B31048">
        <w:rPr>
          <w:lang w:val="en-GB"/>
        </w:rPr>
        <w:t xml:space="preserve"> required to disclose this during enrolment</w:t>
      </w:r>
      <w:r>
        <w:rPr>
          <w:lang w:val="en-GB"/>
        </w:rPr>
        <w:t xml:space="preserve"> for the purpose of coordinating insurance benefits. Information required includes</w:t>
      </w:r>
      <w:r w:rsidRPr="00B31048">
        <w:rPr>
          <w:lang w:val="en-GB"/>
        </w:rPr>
        <w:t xml:space="preserve"> the name of the </w:t>
      </w:r>
      <w:r>
        <w:rPr>
          <w:lang w:val="en-GB"/>
        </w:rPr>
        <w:t>insurer and the plan,</w:t>
      </w:r>
      <w:r w:rsidRPr="00733BD8">
        <w:t xml:space="preserve"> </w:t>
      </w:r>
      <w:r>
        <w:t>as applicable and outlined in regulations.</w:t>
      </w:r>
    </w:p>
    <w:p w:rsidR="007B4E26" w:rsidRDefault="003947FA" w:rsidP="00B43702">
      <w:pPr>
        <w:pStyle w:val="Heading1"/>
        <w:ind w:left="360"/>
      </w:pPr>
      <w:r w:rsidDel="003947FA">
        <w:t xml:space="preserve"> </w:t>
      </w:r>
      <w:bookmarkStart w:id="4" w:name="_Toc480438282"/>
      <w:r w:rsidR="007B4E26">
        <w:t>Purpose of personal</w:t>
      </w:r>
      <w:r w:rsidR="00C420B4">
        <w:t xml:space="preserve"> </w:t>
      </w:r>
      <w:r w:rsidR="00CA13D6">
        <w:t>information</w:t>
      </w:r>
      <w:r w:rsidR="00C420B4">
        <w:t xml:space="preserve"> in relation to NHI Bahamas</w:t>
      </w:r>
      <w:bookmarkEnd w:id="4"/>
    </w:p>
    <w:p w:rsidR="006D29EC" w:rsidRDefault="00CA13D6" w:rsidP="00A716C1">
      <w:pPr>
        <w:jc w:val="both"/>
      </w:pPr>
      <w:r>
        <w:t xml:space="preserve">Personal information </w:t>
      </w:r>
      <w:r w:rsidR="00ED1BB1">
        <w:t>about</w:t>
      </w:r>
      <w:r>
        <w:t xml:space="preserve"> </w:t>
      </w:r>
      <w:r w:rsidR="00ED1BB1">
        <w:t xml:space="preserve">enrolled beneficiaries </w:t>
      </w:r>
      <w:r w:rsidR="001F07AE">
        <w:t xml:space="preserve">– including personal health information, personal data and sensitive personal data – </w:t>
      </w:r>
      <w:r w:rsidR="000934C7">
        <w:t>is</w:t>
      </w:r>
      <w:r w:rsidR="00ED1BB1">
        <w:t xml:space="preserve"> collected and used by the NHIA for </w:t>
      </w:r>
      <w:r w:rsidR="007B4E26">
        <w:t xml:space="preserve">NHI </w:t>
      </w:r>
      <w:r w:rsidR="00ED1BB1">
        <w:t xml:space="preserve">Bahamas programme purposes. </w:t>
      </w:r>
    </w:p>
    <w:p w:rsidR="00CA13D6" w:rsidRDefault="00CA13D6" w:rsidP="00A716C1">
      <w:pPr>
        <w:jc w:val="both"/>
      </w:pPr>
      <w:r>
        <w:t xml:space="preserve">Examples of personal information </w:t>
      </w:r>
      <w:r w:rsidR="0028527E">
        <w:t>that the NHIA may require</w:t>
      </w:r>
      <w:r>
        <w:t xml:space="preserve"> include </w:t>
      </w:r>
      <w:r w:rsidRPr="00CA13D6">
        <w:t xml:space="preserve">an individual’s name, </w:t>
      </w:r>
      <w:r w:rsidR="0028527E">
        <w:t>gender</w:t>
      </w:r>
      <w:r w:rsidRPr="00CA13D6">
        <w:t xml:space="preserve">, </w:t>
      </w:r>
      <w:r w:rsidR="0028527E">
        <w:t>date of birth,</w:t>
      </w:r>
      <w:r w:rsidR="0028527E" w:rsidRPr="00CA13D6">
        <w:t xml:space="preserve"> </w:t>
      </w:r>
      <w:r w:rsidR="006C5173">
        <w:t xml:space="preserve">email </w:t>
      </w:r>
      <w:r w:rsidRPr="00CA13D6">
        <w:t xml:space="preserve">address, telephone number, </w:t>
      </w:r>
      <w:r w:rsidR="006C5173">
        <w:t>residence address,</w:t>
      </w:r>
      <w:r w:rsidR="0028527E">
        <w:t xml:space="preserve"> dependents,</w:t>
      </w:r>
      <w:r>
        <w:t xml:space="preserve"> </w:t>
      </w:r>
      <w:r w:rsidR="0028527E">
        <w:t xml:space="preserve">signature, </w:t>
      </w:r>
      <w:r>
        <w:t>medical records</w:t>
      </w:r>
      <w:r w:rsidR="006D29EC">
        <w:t>, laboratory test results, insurance information</w:t>
      </w:r>
      <w:r>
        <w:t xml:space="preserve"> </w:t>
      </w:r>
      <w:r w:rsidRPr="00CA13D6">
        <w:t>and commentary or opinion about a person</w:t>
      </w:r>
      <w:r>
        <w:t>.</w:t>
      </w:r>
    </w:p>
    <w:p w:rsidR="000F0251" w:rsidRDefault="00B43702" w:rsidP="004B748E">
      <w:pPr>
        <w:spacing w:after="0"/>
        <w:jc w:val="both"/>
      </w:pPr>
      <w:r>
        <w:t>Data</w:t>
      </w:r>
      <w:r w:rsidR="00F713CB">
        <w:t xml:space="preserve"> is only used for programme purposes</w:t>
      </w:r>
      <w:r>
        <w:t>. P</w:t>
      </w:r>
      <w:r w:rsidR="00CA13D6">
        <w:t>rogramme purposes include, but are</w:t>
      </w:r>
      <w:r w:rsidR="00ED1BB1">
        <w:t xml:space="preserve"> not limited to</w:t>
      </w:r>
      <w:r w:rsidR="000F0251">
        <w:t>:</w:t>
      </w:r>
    </w:p>
    <w:p w:rsidR="00884D4C" w:rsidRDefault="00884D4C" w:rsidP="004B748E">
      <w:pPr>
        <w:pStyle w:val="ListParagraph"/>
        <w:numPr>
          <w:ilvl w:val="0"/>
          <w:numId w:val="5"/>
        </w:numPr>
        <w:spacing w:before="0"/>
        <w:jc w:val="both"/>
      </w:pPr>
      <w:r>
        <w:t>delivery of health care services</w:t>
      </w:r>
      <w:r w:rsidR="006F050E">
        <w:t>;</w:t>
      </w:r>
    </w:p>
    <w:p w:rsidR="000F0251" w:rsidRDefault="000F0251" w:rsidP="00617908">
      <w:pPr>
        <w:pStyle w:val="ListParagraph"/>
        <w:numPr>
          <w:ilvl w:val="0"/>
          <w:numId w:val="5"/>
        </w:numPr>
        <w:jc w:val="both"/>
      </w:pPr>
      <w:r>
        <w:t>beneficiary enrolment;</w:t>
      </w:r>
    </w:p>
    <w:p w:rsidR="000F0251" w:rsidRDefault="000F0251" w:rsidP="00617908">
      <w:pPr>
        <w:pStyle w:val="ListParagraph"/>
        <w:numPr>
          <w:ilvl w:val="0"/>
          <w:numId w:val="5"/>
        </w:numPr>
        <w:jc w:val="both"/>
      </w:pPr>
      <w:r>
        <w:t>Provider registration;</w:t>
      </w:r>
    </w:p>
    <w:p w:rsidR="007B4E26" w:rsidRDefault="000F0251" w:rsidP="00617908">
      <w:pPr>
        <w:pStyle w:val="ListParagraph"/>
        <w:numPr>
          <w:ilvl w:val="0"/>
          <w:numId w:val="5"/>
        </w:numPr>
        <w:jc w:val="both"/>
      </w:pPr>
      <w:r>
        <w:t>payment processing and audit;</w:t>
      </w:r>
    </w:p>
    <w:p w:rsidR="00DE52CE" w:rsidRDefault="00DE52CE" w:rsidP="00617908">
      <w:pPr>
        <w:pStyle w:val="ListParagraph"/>
        <w:numPr>
          <w:ilvl w:val="0"/>
          <w:numId w:val="5"/>
        </w:numPr>
        <w:jc w:val="both"/>
      </w:pPr>
      <w:r>
        <w:t>fraud detection</w:t>
      </w:r>
      <w:r w:rsidR="00E24D5A">
        <w:t xml:space="preserve"> and prevention</w:t>
      </w:r>
      <w:r>
        <w:t>;</w:t>
      </w:r>
    </w:p>
    <w:p w:rsidR="000F0251" w:rsidRDefault="000F0251" w:rsidP="00617908">
      <w:pPr>
        <w:pStyle w:val="ListParagraph"/>
        <w:numPr>
          <w:ilvl w:val="0"/>
          <w:numId w:val="5"/>
        </w:numPr>
        <w:jc w:val="both"/>
      </w:pPr>
      <w:r>
        <w:t>monitoring and evaluation; and</w:t>
      </w:r>
    </w:p>
    <w:p w:rsidR="00B43702" w:rsidRDefault="00817D7D" w:rsidP="00B43702">
      <w:pPr>
        <w:pStyle w:val="ListParagraph"/>
        <w:numPr>
          <w:ilvl w:val="0"/>
          <w:numId w:val="5"/>
        </w:numPr>
        <w:spacing w:before="0" w:after="160"/>
        <w:contextualSpacing w:val="0"/>
        <w:jc w:val="both"/>
      </w:pPr>
      <w:r>
        <w:t>purposes</w:t>
      </w:r>
      <w:r w:rsidR="000F0251" w:rsidRPr="000F0251">
        <w:t xml:space="preserve"> relevant to public health or public safety</w:t>
      </w:r>
      <w:r w:rsidR="000F0251">
        <w:t>.</w:t>
      </w:r>
    </w:p>
    <w:p w:rsidR="00B43702" w:rsidRDefault="00B43702" w:rsidP="004B748E">
      <w:pPr>
        <w:jc w:val="both"/>
      </w:pPr>
      <w:r>
        <w:t>Data may be shared with registered primary care physicians and</w:t>
      </w:r>
      <w:r w:rsidR="000934C7">
        <w:t xml:space="preserve"> Government agencies (e.g., NIB</w:t>
      </w:r>
      <w:r>
        <w:t>) as is required for the purposes listed above.</w:t>
      </w:r>
    </w:p>
    <w:p w:rsidR="00D81736" w:rsidRDefault="00D81736" w:rsidP="00FB571F">
      <w:pPr>
        <w:pStyle w:val="Heading1"/>
        <w:ind w:left="360"/>
      </w:pPr>
      <w:bookmarkStart w:id="5" w:name="_Toc480438283"/>
      <w:r>
        <w:t>Requirements under the Data Protection Act</w:t>
      </w:r>
      <w:bookmarkEnd w:id="5"/>
    </w:p>
    <w:p w:rsidR="006D29EC" w:rsidRDefault="006D29EC" w:rsidP="006D29EC">
      <w:pPr>
        <w:jc w:val="both"/>
      </w:pPr>
      <w:r w:rsidRPr="00840086">
        <w:t xml:space="preserve">The Bahamas </w:t>
      </w:r>
      <w:r w:rsidRPr="000D34D8">
        <w:rPr>
          <w:i/>
        </w:rPr>
        <w:t xml:space="preserve">Data Protection </w:t>
      </w:r>
      <w:r>
        <w:rPr>
          <w:i/>
        </w:rPr>
        <w:t xml:space="preserve">(Privacy of Personal Information) </w:t>
      </w:r>
      <w:r w:rsidRPr="000D34D8">
        <w:rPr>
          <w:i/>
        </w:rPr>
        <w:t>Act</w:t>
      </w:r>
      <w:r>
        <w:t>, 2003, (“Data Protection Act”) protects the privacy of individuals in relation to personal data and</w:t>
      </w:r>
      <w:r w:rsidRPr="00840086">
        <w:t xml:space="preserve"> regulates the collection, processing, keeping, use and disclosure of personal information. </w:t>
      </w:r>
    </w:p>
    <w:p w:rsidR="006D29EC" w:rsidRDefault="006D29EC" w:rsidP="00D81736">
      <w:pPr>
        <w:jc w:val="both"/>
      </w:pPr>
      <w:r>
        <w:t xml:space="preserve">The </w:t>
      </w:r>
      <w:r w:rsidRPr="00143BAC">
        <w:rPr>
          <w:i/>
        </w:rPr>
        <w:t>Data Protection Act</w:t>
      </w:r>
      <w:r>
        <w:t xml:space="preserve"> is not specific to personal health information. However i</w:t>
      </w:r>
      <w:r w:rsidRPr="00840086">
        <w:t xml:space="preserve">n carrying out its duties, the NHIA acts in a number of capacities described by the </w:t>
      </w:r>
      <w:r w:rsidRPr="000D34D8">
        <w:rPr>
          <w:i/>
        </w:rPr>
        <w:t>Data Protection Act</w:t>
      </w:r>
      <w:r w:rsidRPr="00840086">
        <w:t xml:space="preserve"> and its regulations. If there is a</w:t>
      </w:r>
      <w:r>
        <w:t>ny</w:t>
      </w:r>
      <w:r w:rsidRPr="00840086">
        <w:t xml:space="preserve"> discrepancy between this operational policy </w:t>
      </w:r>
      <w:r>
        <w:t xml:space="preserve">document </w:t>
      </w:r>
      <w:r w:rsidRPr="00840086">
        <w:t>and the legislation or i</w:t>
      </w:r>
      <w:r w:rsidR="000934C7">
        <w:t>ts regulations, the legislation</w:t>
      </w:r>
      <w:r>
        <w:t xml:space="preserve"> </w:t>
      </w:r>
      <w:r w:rsidRPr="00840086">
        <w:t>take</w:t>
      </w:r>
      <w:r w:rsidR="000934C7">
        <w:t>s</w:t>
      </w:r>
      <w:r w:rsidRPr="00840086">
        <w:t xml:space="preserve"> precedence.</w:t>
      </w:r>
      <w:r>
        <w:t xml:space="preserve"> If there is any discrepancy between the NHIA privacy policy and any other NHIA operational policy document, the privacy policy takes precedence.</w:t>
      </w:r>
    </w:p>
    <w:p w:rsidR="00BD70D7" w:rsidRDefault="00BD70D7" w:rsidP="00BD70D7">
      <w:pPr>
        <w:pStyle w:val="Heading2"/>
      </w:pPr>
      <w:bookmarkStart w:id="6" w:name="_Toc480438284"/>
      <w:r>
        <w:t>5.1 Collection, processing, keeping, use and disclosure of personal data</w:t>
      </w:r>
      <w:bookmarkEnd w:id="6"/>
    </w:p>
    <w:p w:rsidR="00D81736" w:rsidRDefault="00D81736" w:rsidP="004B748E">
      <w:pPr>
        <w:spacing w:after="0"/>
        <w:jc w:val="both"/>
      </w:pPr>
      <w:r>
        <w:t xml:space="preserve">The </w:t>
      </w:r>
      <w:r w:rsidR="001F07AE" w:rsidRPr="00143BAC">
        <w:rPr>
          <w:i/>
        </w:rPr>
        <w:t xml:space="preserve">Data Protection </w:t>
      </w:r>
      <w:r w:rsidRPr="00143BAC">
        <w:rPr>
          <w:i/>
        </w:rPr>
        <w:t>Act</w:t>
      </w:r>
      <w:r>
        <w:t xml:space="preserve"> requires a</w:t>
      </w:r>
      <w:r w:rsidR="001F07AE">
        <w:t>n organization that collects</w:t>
      </w:r>
      <w:r>
        <w:t xml:space="preserve"> data to comply with the following provisions:</w:t>
      </w:r>
    </w:p>
    <w:p w:rsidR="00D81736" w:rsidRDefault="00D81736" w:rsidP="004B748E">
      <w:pPr>
        <w:pStyle w:val="ListParagraph"/>
        <w:numPr>
          <w:ilvl w:val="0"/>
          <w:numId w:val="8"/>
        </w:numPr>
        <w:spacing w:before="0"/>
        <w:jc w:val="both"/>
      </w:pPr>
      <w:r w:rsidRPr="0095204C">
        <w:t xml:space="preserve">the data or the information </w:t>
      </w:r>
      <w:r w:rsidR="0080631B">
        <w:t xml:space="preserve">must be </w:t>
      </w:r>
      <w:r w:rsidRPr="0095204C">
        <w:t xml:space="preserve">collected </w:t>
      </w:r>
      <w:r w:rsidR="001F07AE">
        <w:t>lawfully and fairly</w:t>
      </w:r>
      <w:r w:rsidRPr="0095204C">
        <w:t>;</w:t>
      </w:r>
    </w:p>
    <w:p w:rsidR="00D81736" w:rsidRDefault="00D81736" w:rsidP="00617908">
      <w:pPr>
        <w:pStyle w:val="ListParagraph"/>
        <w:numPr>
          <w:ilvl w:val="0"/>
          <w:numId w:val="8"/>
        </w:numPr>
        <w:jc w:val="both"/>
      </w:pPr>
      <w:r w:rsidRPr="0095204C">
        <w:t xml:space="preserve">the data </w:t>
      </w:r>
      <w:r w:rsidR="0080631B">
        <w:t>must be</w:t>
      </w:r>
      <w:r w:rsidR="0080631B" w:rsidRPr="0095204C">
        <w:t xml:space="preserve"> </w:t>
      </w:r>
      <w:r w:rsidRPr="0095204C">
        <w:t>accurate and, where necessary, kept</w:t>
      </w:r>
      <w:r>
        <w:t xml:space="preserve"> </w:t>
      </w:r>
      <w:r w:rsidRPr="0095204C">
        <w:t>up to date</w:t>
      </w:r>
      <w:r w:rsidR="001F07AE">
        <w:t xml:space="preserve"> </w:t>
      </w:r>
      <w:r w:rsidRPr="0095204C">
        <w:t>(except in the case of back-up data);</w:t>
      </w:r>
    </w:p>
    <w:p w:rsidR="00D81736" w:rsidRDefault="00D81736" w:rsidP="00617908">
      <w:pPr>
        <w:pStyle w:val="ListParagraph"/>
        <w:numPr>
          <w:ilvl w:val="0"/>
          <w:numId w:val="8"/>
        </w:numPr>
        <w:jc w:val="both"/>
      </w:pPr>
      <w:r w:rsidRPr="0095204C">
        <w:t xml:space="preserve">the data </w:t>
      </w:r>
      <w:r w:rsidR="0080631B">
        <w:t>must</w:t>
      </w:r>
      <w:r>
        <w:t xml:space="preserve"> </w:t>
      </w:r>
      <w:r w:rsidRPr="0095204C">
        <w:t>—</w:t>
      </w:r>
    </w:p>
    <w:p w:rsidR="00D81736" w:rsidRDefault="00D81736" w:rsidP="00617908">
      <w:pPr>
        <w:pStyle w:val="ListParagraph"/>
        <w:numPr>
          <w:ilvl w:val="0"/>
          <w:numId w:val="9"/>
        </w:numPr>
        <w:jc w:val="both"/>
      </w:pPr>
      <w:r w:rsidRPr="0095204C">
        <w:t>be kept only for one or more</w:t>
      </w:r>
      <w:r>
        <w:t xml:space="preserve"> </w:t>
      </w:r>
      <w:r w:rsidRPr="0095204C">
        <w:t>specified and lawful purposes;</w:t>
      </w:r>
    </w:p>
    <w:p w:rsidR="00D81736" w:rsidRDefault="00D81736" w:rsidP="00617908">
      <w:pPr>
        <w:pStyle w:val="ListParagraph"/>
        <w:numPr>
          <w:ilvl w:val="0"/>
          <w:numId w:val="9"/>
        </w:numPr>
        <w:jc w:val="both"/>
      </w:pPr>
      <w:r>
        <w:t>not be used or disclosed in any manner incompatible with that purpose or purposes;</w:t>
      </w:r>
    </w:p>
    <w:p w:rsidR="00D81736" w:rsidRDefault="00D81736" w:rsidP="00617908">
      <w:pPr>
        <w:pStyle w:val="ListParagraph"/>
        <w:numPr>
          <w:ilvl w:val="0"/>
          <w:numId w:val="9"/>
        </w:numPr>
        <w:jc w:val="both"/>
      </w:pPr>
      <w:r>
        <w:t>be adequate, relevant and not excessive in relation to that purpose or</w:t>
      </w:r>
      <w:r w:rsidR="001F07AE">
        <w:t xml:space="preserve"> </w:t>
      </w:r>
      <w:r>
        <w:t>purposes; and</w:t>
      </w:r>
    </w:p>
    <w:p w:rsidR="00D81736" w:rsidRDefault="00D81736" w:rsidP="00617908">
      <w:pPr>
        <w:pStyle w:val="ListParagraph"/>
        <w:numPr>
          <w:ilvl w:val="0"/>
          <w:numId w:val="9"/>
        </w:numPr>
        <w:jc w:val="both"/>
      </w:pPr>
      <w:r>
        <w:t>not be kept for longer than is necessary, except in the case of personal data kept for historical, statistical or research purposes; and</w:t>
      </w:r>
    </w:p>
    <w:p w:rsidR="00D81736" w:rsidRDefault="00D81736" w:rsidP="00617908">
      <w:pPr>
        <w:pStyle w:val="ListParagraph"/>
        <w:numPr>
          <w:ilvl w:val="0"/>
          <w:numId w:val="10"/>
        </w:numPr>
        <w:spacing w:before="0" w:after="160"/>
        <w:jc w:val="both"/>
      </w:pPr>
      <w:r>
        <w:t xml:space="preserve">appropriate security measures </w:t>
      </w:r>
      <w:r w:rsidR="0080631B">
        <w:t xml:space="preserve">must </w:t>
      </w:r>
      <w:r>
        <w:t xml:space="preserve">be taken </w:t>
      </w:r>
      <w:r w:rsidR="0080631B">
        <w:t xml:space="preserve">to prevent </w:t>
      </w:r>
      <w:r>
        <w:t>unauthorized access to</w:t>
      </w:r>
      <w:r w:rsidR="0080631B">
        <w:t xml:space="preserve"> –</w:t>
      </w:r>
      <w:r>
        <w:t xml:space="preserve"> or</w:t>
      </w:r>
      <w:r w:rsidR="0080631B">
        <w:t xml:space="preserve"> </w:t>
      </w:r>
      <w:r>
        <w:t>alteration, disclosure or destruction of</w:t>
      </w:r>
      <w:r w:rsidR="0080631B">
        <w:t xml:space="preserve"> – </w:t>
      </w:r>
      <w:r>
        <w:t xml:space="preserve"> the</w:t>
      </w:r>
      <w:r w:rsidR="0080631B">
        <w:t xml:space="preserve"> </w:t>
      </w:r>
      <w:r>
        <w:t>data and against accidental loss or destruction.</w:t>
      </w:r>
    </w:p>
    <w:p w:rsidR="00BD70D7" w:rsidRDefault="00BD70D7" w:rsidP="009A59C8">
      <w:pPr>
        <w:pStyle w:val="Heading2"/>
        <w:jc w:val="both"/>
      </w:pPr>
      <w:bookmarkStart w:id="7" w:name="_Toc480438285"/>
      <w:r>
        <w:t>5.2 Right of access</w:t>
      </w:r>
      <w:bookmarkEnd w:id="7"/>
    </w:p>
    <w:p w:rsidR="00D81736" w:rsidRDefault="007B3EA7" w:rsidP="004B748E">
      <w:pPr>
        <w:spacing w:after="0"/>
        <w:jc w:val="both"/>
      </w:pPr>
      <w:r>
        <w:t xml:space="preserve">Per </w:t>
      </w:r>
      <w:r w:rsidR="0020798C">
        <w:t xml:space="preserve">the provisions of the </w:t>
      </w:r>
      <w:r w:rsidR="0080631B" w:rsidRPr="00143BAC">
        <w:rPr>
          <w:i/>
        </w:rPr>
        <w:t xml:space="preserve">Data Protection </w:t>
      </w:r>
      <w:r w:rsidR="0020798C" w:rsidRPr="00143BAC">
        <w:rPr>
          <w:i/>
        </w:rPr>
        <w:t>Act</w:t>
      </w:r>
      <w:r w:rsidR="0020798C">
        <w:t>, any individual who makes a written request to a</w:t>
      </w:r>
      <w:r w:rsidR="0080631B">
        <w:t xml:space="preserve">n organization </w:t>
      </w:r>
      <w:r>
        <w:t>that possesses</w:t>
      </w:r>
      <w:r w:rsidR="0080631B">
        <w:t xml:space="preserve"> his or her </w:t>
      </w:r>
      <w:r w:rsidR="003666DD">
        <w:t xml:space="preserve">personal </w:t>
      </w:r>
      <w:r w:rsidR="0080631B">
        <w:t xml:space="preserve">data </w:t>
      </w:r>
      <w:r w:rsidR="0020798C">
        <w:t>has a right, within 40 days</w:t>
      </w:r>
      <w:r>
        <w:t xml:space="preserve">, </w:t>
      </w:r>
      <w:r w:rsidR="0020798C">
        <w:t>to:</w:t>
      </w:r>
    </w:p>
    <w:p w:rsidR="0020798C" w:rsidRDefault="0020798C" w:rsidP="004B748E">
      <w:pPr>
        <w:pStyle w:val="ListParagraph"/>
        <w:numPr>
          <w:ilvl w:val="0"/>
          <w:numId w:val="10"/>
        </w:numPr>
        <w:spacing w:before="0"/>
        <w:contextualSpacing w:val="0"/>
        <w:jc w:val="both"/>
      </w:pPr>
      <w:r>
        <w:t>be informed whether the data kept include</w:t>
      </w:r>
      <w:r w:rsidR="00094CFC">
        <w:t>s</w:t>
      </w:r>
      <w:r>
        <w:t xml:space="preserve"> personal data relating to the individual;</w:t>
      </w:r>
    </w:p>
    <w:p w:rsidR="0020798C" w:rsidRDefault="0020798C" w:rsidP="00617908">
      <w:pPr>
        <w:pStyle w:val="ListParagraph"/>
        <w:numPr>
          <w:ilvl w:val="0"/>
          <w:numId w:val="10"/>
        </w:numPr>
        <w:jc w:val="both"/>
      </w:pPr>
      <w:r>
        <w:t>be supplied with a copy of the data; and</w:t>
      </w:r>
    </w:p>
    <w:p w:rsidR="00EB77BF" w:rsidRDefault="0020798C" w:rsidP="00EB77BF">
      <w:pPr>
        <w:pStyle w:val="ListParagraph"/>
        <w:numPr>
          <w:ilvl w:val="0"/>
          <w:numId w:val="10"/>
        </w:numPr>
        <w:spacing w:before="0" w:after="160"/>
        <w:jc w:val="both"/>
      </w:pPr>
      <w:r>
        <w:t xml:space="preserve">where any of the information is expressed in terms that are not intelligible to the average person without explanation, the information </w:t>
      </w:r>
      <w:r w:rsidR="007B3EA7">
        <w:t xml:space="preserve">must </w:t>
      </w:r>
      <w:r>
        <w:t>be accompanied by an explanation of those terms.</w:t>
      </w:r>
    </w:p>
    <w:p w:rsidR="00EB77BF" w:rsidRDefault="003666DD" w:rsidP="00143BAC">
      <w:pPr>
        <w:spacing w:after="0"/>
        <w:jc w:val="both"/>
      </w:pPr>
      <w:r>
        <w:t xml:space="preserve">Thus, individuals have a right to a broad array of </w:t>
      </w:r>
      <w:r w:rsidR="00074495">
        <w:t>data and health information</w:t>
      </w:r>
      <w:r>
        <w:t xml:space="preserve"> that may be in the possession </w:t>
      </w:r>
      <w:r w:rsidR="00EB77BF">
        <w:t>of an organization, including:</w:t>
      </w:r>
    </w:p>
    <w:p w:rsidR="00EB77BF" w:rsidRDefault="00EB77BF" w:rsidP="00EB77BF">
      <w:pPr>
        <w:pStyle w:val="ListParagraph"/>
        <w:numPr>
          <w:ilvl w:val="0"/>
          <w:numId w:val="10"/>
        </w:numPr>
        <w:spacing w:before="0"/>
        <w:contextualSpacing w:val="0"/>
        <w:jc w:val="both"/>
      </w:pPr>
      <w:r>
        <w:t>Medical records;</w:t>
      </w:r>
    </w:p>
    <w:p w:rsidR="00EB77BF" w:rsidRDefault="00EB77BF" w:rsidP="00EB77BF">
      <w:pPr>
        <w:pStyle w:val="ListParagraph"/>
        <w:numPr>
          <w:ilvl w:val="0"/>
          <w:numId w:val="10"/>
        </w:numPr>
        <w:spacing w:before="0"/>
        <w:contextualSpacing w:val="0"/>
        <w:jc w:val="both"/>
      </w:pPr>
      <w:r>
        <w:t>Billing and payment records;</w:t>
      </w:r>
    </w:p>
    <w:p w:rsidR="00EB77BF" w:rsidRDefault="00EB77BF" w:rsidP="00EB77BF">
      <w:pPr>
        <w:pStyle w:val="ListParagraph"/>
        <w:numPr>
          <w:ilvl w:val="0"/>
          <w:numId w:val="10"/>
        </w:numPr>
        <w:spacing w:before="0"/>
        <w:contextualSpacing w:val="0"/>
        <w:jc w:val="both"/>
      </w:pPr>
      <w:r>
        <w:t>Insurance information;</w:t>
      </w:r>
    </w:p>
    <w:p w:rsidR="00EB77BF" w:rsidRDefault="00EB77BF" w:rsidP="00EB77BF">
      <w:pPr>
        <w:pStyle w:val="ListParagraph"/>
        <w:numPr>
          <w:ilvl w:val="0"/>
          <w:numId w:val="10"/>
        </w:numPr>
        <w:spacing w:before="0"/>
        <w:contextualSpacing w:val="0"/>
        <w:jc w:val="both"/>
      </w:pPr>
      <w:r>
        <w:t>Clinical laboratory test results;</w:t>
      </w:r>
    </w:p>
    <w:p w:rsidR="00EB77BF" w:rsidRDefault="00EB77BF" w:rsidP="00EB77BF">
      <w:pPr>
        <w:pStyle w:val="ListParagraph"/>
        <w:numPr>
          <w:ilvl w:val="0"/>
          <w:numId w:val="10"/>
        </w:numPr>
        <w:spacing w:before="0"/>
        <w:contextualSpacing w:val="0"/>
        <w:jc w:val="both"/>
      </w:pPr>
      <w:r>
        <w:t>Medical images, such as x-rays;</w:t>
      </w:r>
    </w:p>
    <w:p w:rsidR="00EB77BF" w:rsidRDefault="00EB77BF" w:rsidP="00EB77BF">
      <w:pPr>
        <w:pStyle w:val="ListParagraph"/>
        <w:numPr>
          <w:ilvl w:val="0"/>
          <w:numId w:val="10"/>
        </w:numPr>
        <w:spacing w:before="0"/>
        <w:contextualSpacing w:val="0"/>
        <w:jc w:val="both"/>
      </w:pPr>
      <w:r>
        <w:t xml:space="preserve">Wellness and disease management program files; </w:t>
      </w:r>
    </w:p>
    <w:p w:rsidR="00EB77BF" w:rsidRDefault="00D363FA" w:rsidP="00EB77BF">
      <w:pPr>
        <w:pStyle w:val="ListParagraph"/>
        <w:numPr>
          <w:ilvl w:val="0"/>
          <w:numId w:val="10"/>
        </w:numPr>
        <w:spacing w:before="0"/>
        <w:contextualSpacing w:val="0"/>
        <w:jc w:val="both"/>
      </w:pPr>
      <w:r>
        <w:t>Clinical case notes; or</w:t>
      </w:r>
    </w:p>
    <w:p w:rsidR="000E7894" w:rsidRDefault="00EB77BF" w:rsidP="000E7894">
      <w:pPr>
        <w:pStyle w:val="ListParagraph"/>
        <w:numPr>
          <w:ilvl w:val="0"/>
          <w:numId w:val="10"/>
        </w:numPr>
        <w:spacing w:before="0" w:after="160"/>
        <w:jc w:val="both"/>
      </w:pPr>
      <w:r>
        <w:t>Any other information used to make medical decisions about the individual.</w:t>
      </w:r>
    </w:p>
    <w:p w:rsidR="000E7894" w:rsidRDefault="00A361EB" w:rsidP="00143BAC">
      <w:pPr>
        <w:spacing w:after="0"/>
        <w:jc w:val="both"/>
      </w:pPr>
      <w:r>
        <w:t xml:space="preserve">Organizations may use an individual’s data to inform the development of an aggregated data set that is not personally identifiable and is no longer used to make decisions specifically about the individual. An individual does not have a right to access personal health information that is not used to make decisions about the individual or individuals like in an aggregated data set mentioned above.  </w:t>
      </w:r>
      <w:r w:rsidR="001434DF">
        <w:t>This may</w:t>
      </w:r>
      <w:r>
        <w:t xml:space="preserve"> include</w:t>
      </w:r>
      <w:r w:rsidR="000E7894">
        <w:t>:</w:t>
      </w:r>
    </w:p>
    <w:p w:rsidR="000E7894" w:rsidRDefault="000E7894" w:rsidP="00143BAC">
      <w:pPr>
        <w:pStyle w:val="ListParagraph"/>
        <w:numPr>
          <w:ilvl w:val="0"/>
          <w:numId w:val="10"/>
        </w:numPr>
        <w:spacing w:before="0"/>
        <w:contextualSpacing w:val="0"/>
        <w:jc w:val="both"/>
      </w:pPr>
      <w:r>
        <w:t>Quality assessments or improvement records;</w:t>
      </w:r>
    </w:p>
    <w:p w:rsidR="000E7894" w:rsidRDefault="000E7894" w:rsidP="00143BAC">
      <w:pPr>
        <w:pStyle w:val="ListParagraph"/>
        <w:numPr>
          <w:ilvl w:val="0"/>
          <w:numId w:val="10"/>
        </w:numPr>
        <w:spacing w:before="0"/>
        <w:contextualSpacing w:val="0"/>
        <w:jc w:val="both"/>
      </w:pPr>
      <w:r>
        <w:t>Patient safety activity records; or</w:t>
      </w:r>
    </w:p>
    <w:p w:rsidR="000E7894" w:rsidRDefault="000E7894" w:rsidP="00143BAC">
      <w:pPr>
        <w:pStyle w:val="ListParagraph"/>
        <w:numPr>
          <w:ilvl w:val="0"/>
          <w:numId w:val="10"/>
        </w:numPr>
        <w:spacing w:before="0" w:after="160"/>
        <w:jc w:val="both"/>
      </w:pPr>
      <w:r>
        <w:t>Business planning, development, or management records that are used for business decisions rather than to make decisions about individuals.</w:t>
      </w:r>
    </w:p>
    <w:p w:rsidR="000E7894" w:rsidRDefault="000E7894" w:rsidP="000E7894">
      <w:pPr>
        <w:jc w:val="both"/>
      </w:pPr>
      <w:r>
        <w:t>For example, an organization’s peer review files or provider performance evaluations may be generated from and include an individual’s personal health information, but might not be in the designated record set and thus, not accessible by the individual.</w:t>
      </w:r>
      <w:r w:rsidR="000934C7">
        <w:t xml:space="preserve"> However, t</w:t>
      </w:r>
      <w:r>
        <w:t xml:space="preserve">he underlying personal health information from the individuals’ medical or payment records used to generate the above types of </w:t>
      </w:r>
      <w:r w:rsidR="003978BC">
        <w:t>excluded information is still accessible by the individual.</w:t>
      </w:r>
    </w:p>
    <w:p w:rsidR="001F3085" w:rsidRDefault="001F3085" w:rsidP="001F3085">
      <w:pPr>
        <w:jc w:val="both"/>
      </w:pPr>
      <w:r w:rsidRPr="001F3085">
        <w:t xml:space="preserve">If </w:t>
      </w:r>
      <w:r w:rsidR="000934C7">
        <w:t>any NHI Bahamas beneficiary</w:t>
      </w:r>
      <w:r w:rsidRPr="001F3085">
        <w:t xml:space="preserve"> would like to see or </w:t>
      </w:r>
      <w:r>
        <w:t>obtain</w:t>
      </w:r>
      <w:r w:rsidRPr="001F3085">
        <w:t xml:space="preserve"> a copy of </w:t>
      </w:r>
      <w:r w:rsidR="000934C7">
        <w:t>their</w:t>
      </w:r>
      <w:r w:rsidRPr="001F3085">
        <w:t xml:space="preserve"> </w:t>
      </w:r>
      <w:r w:rsidR="007B3EA7">
        <w:t>personal data</w:t>
      </w:r>
      <w:r w:rsidR="00074495">
        <w:t xml:space="preserve"> or personal health information</w:t>
      </w:r>
      <w:r w:rsidR="007B3EA7">
        <w:t xml:space="preserve"> kept by the NHIA</w:t>
      </w:r>
      <w:r w:rsidR="000934C7">
        <w:t>, please contact the</w:t>
      </w:r>
      <w:r w:rsidRPr="001F3085">
        <w:t xml:space="preserve"> </w:t>
      </w:r>
      <w:r w:rsidRPr="00640145">
        <w:t>NHIA Privacy Officer</w:t>
      </w:r>
      <w:r w:rsidR="00084F54">
        <w:t>.</w:t>
      </w:r>
    </w:p>
    <w:p w:rsidR="00BD70D7" w:rsidRDefault="00BD70D7" w:rsidP="009A59C8">
      <w:pPr>
        <w:pStyle w:val="Heading2"/>
        <w:jc w:val="both"/>
      </w:pPr>
      <w:bookmarkStart w:id="8" w:name="_Toc480438286"/>
      <w:r>
        <w:t xml:space="preserve">5.3 Right of </w:t>
      </w:r>
      <w:r w:rsidR="003B1373">
        <w:t xml:space="preserve">correction </w:t>
      </w:r>
      <w:r>
        <w:t>or erasure</w:t>
      </w:r>
      <w:bookmarkEnd w:id="8"/>
    </w:p>
    <w:p w:rsidR="00BD70D7" w:rsidRDefault="00BD70D7" w:rsidP="009A59C8">
      <w:pPr>
        <w:jc w:val="both"/>
      </w:pPr>
      <w:r>
        <w:t xml:space="preserve">An individual </w:t>
      </w:r>
      <w:r w:rsidR="003B1373">
        <w:t>is</w:t>
      </w:r>
      <w:r>
        <w:t xml:space="preserve"> entit</w:t>
      </w:r>
      <w:r w:rsidR="00616622">
        <w:t xml:space="preserve">led to have </w:t>
      </w:r>
      <w:r w:rsidR="003B1373">
        <w:t xml:space="preserve">corrected </w:t>
      </w:r>
      <w:r w:rsidR="00616622">
        <w:t xml:space="preserve">or, where </w:t>
      </w:r>
      <w:r>
        <w:t xml:space="preserve">appropriate, erased any </w:t>
      </w:r>
      <w:r w:rsidR="00616622">
        <w:t xml:space="preserve">data </w:t>
      </w:r>
      <w:r w:rsidR="009A59C8">
        <w:t xml:space="preserve">relating to him or her </w:t>
      </w:r>
      <w:r w:rsidR="003B1373">
        <w:t>that was inappropriately collected. The organization possessing the data must</w:t>
      </w:r>
      <w:r w:rsidR="00616622">
        <w:t xml:space="preserve"> comply </w:t>
      </w:r>
      <w:r>
        <w:t xml:space="preserve">with the request within </w:t>
      </w:r>
      <w:r w:rsidR="003B1373">
        <w:t>40</w:t>
      </w:r>
      <w:r>
        <w:t xml:space="preserve"> </w:t>
      </w:r>
      <w:r w:rsidR="00616622">
        <w:t>days.</w:t>
      </w:r>
    </w:p>
    <w:p w:rsidR="00E96B4D" w:rsidRDefault="00E96B4D" w:rsidP="00E96B4D">
      <w:pPr>
        <w:pStyle w:val="Heading2"/>
      </w:pPr>
      <w:bookmarkStart w:id="9" w:name="_Toc480438287"/>
      <w:r>
        <w:t>5.4 Disclosure of personal data in certain cases</w:t>
      </w:r>
      <w:bookmarkEnd w:id="9"/>
    </w:p>
    <w:p w:rsidR="00E96B4D" w:rsidRDefault="00E96B4D" w:rsidP="004B748E">
      <w:pPr>
        <w:spacing w:after="0"/>
        <w:jc w:val="both"/>
      </w:pPr>
      <w:r>
        <w:t xml:space="preserve">Per the </w:t>
      </w:r>
      <w:r w:rsidRPr="00143BAC">
        <w:rPr>
          <w:i/>
        </w:rPr>
        <w:t>Data Protection Act</w:t>
      </w:r>
      <w:r w:rsidRPr="00E96B4D">
        <w:t>,</w:t>
      </w:r>
      <w:r>
        <w:rPr>
          <w:i/>
        </w:rPr>
        <w:t xml:space="preserve"> </w:t>
      </w:r>
      <w:r>
        <w:t>any restrictions on the disclosure of personal data do not apply if the disclosure is</w:t>
      </w:r>
      <w:r w:rsidR="00640145">
        <w:t>:</w:t>
      </w:r>
    </w:p>
    <w:p w:rsidR="00E96B4D" w:rsidRDefault="00126A92" w:rsidP="004B748E">
      <w:pPr>
        <w:pStyle w:val="ListParagraph"/>
        <w:numPr>
          <w:ilvl w:val="0"/>
          <w:numId w:val="12"/>
        </w:numPr>
        <w:spacing w:before="0"/>
        <w:ind w:left="360"/>
        <w:jc w:val="both"/>
      </w:pPr>
      <w:r>
        <w:t>determined by</w:t>
      </w:r>
      <w:r w:rsidR="00E96B4D">
        <w:t xml:space="preserve"> the </w:t>
      </w:r>
      <w:r w:rsidR="00D02FE6">
        <w:t>Minister with responsibility for Information Privacy and Data Protection</w:t>
      </w:r>
      <w:r w:rsidR="00E96B4D">
        <w:t xml:space="preserve"> or the Minister of National Security required for the purpose of safeguarding the security of The Bahamas;</w:t>
      </w:r>
    </w:p>
    <w:p w:rsidR="00E96B4D" w:rsidRDefault="00E96B4D" w:rsidP="00617908">
      <w:pPr>
        <w:pStyle w:val="ListParagraph"/>
        <w:numPr>
          <w:ilvl w:val="0"/>
          <w:numId w:val="12"/>
        </w:numPr>
        <w:ind w:left="360"/>
        <w:jc w:val="both"/>
      </w:pPr>
      <w:r>
        <w:t xml:space="preserve">required for preventing, detecting or investigating offences or collecting any tax, duty or </w:t>
      </w:r>
      <w:r w:rsidR="00640145">
        <w:t xml:space="preserve">money </w:t>
      </w:r>
      <w:r>
        <w:t>owed to the Government, statutory corporation, public body or a local authority;</w:t>
      </w:r>
    </w:p>
    <w:p w:rsidR="00E96B4D" w:rsidRDefault="00E96B4D" w:rsidP="00617908">
      <w:pPr>
        <w:pStyle w:val="ListParagraph"/>
        <w:numPr>
          <w:ilvl w:val="0"/>
          <w:numId w:val="12"/>
        </w:numPr>
        <w:ind w:left="360"/>
        <w:jc w:val="both"/>
      </w:pPr>
      <w:r>
        <w:t xml:space="preserve">required </w:t>
      </w:r>
      <w:r w:rsidR="00640145">
        <w:t>for</w:t>
      </w:r>
      <w:r>
        <w:t xml:space="preserve"> protecting the international relations of The Bahamas;</w:t>
      </w:r>
    </w:p>
    <w:p w:rsidR="00E96B4D" w:rsidRDefault="00E96B4D" w:rsidP="00617908">
      <w:pPr>
        <w:pStyle w:val="ListParagraph"/>
        <w:numPr>
          <w:ilvl w:val="0"/>
          <w:numId w:val="12"/>
        </w:numPr>
        <w:ind w:left="360"/>
        <w:jc w:val="both"/>
      </w:pPr>
      <w:r>
        <w:t>required urgently to prevent injury or damage to the health of a person or serious loss of property;</w:t>
      </w:r>
      <w:r w:rsidR="00D64152">
        <w:t xml:space="preserve"> or</w:t>
      </w:r>
    </w:p>
    <w:p w:rsidR="00E96B4D" w:rsidRPr="0095204C" w:rsidRDefault="00E96B4D" w:rsidP="00617908">
      <w:pPr>
        <w:pStyle w:val="ListParagraph"/>
        <w:numPr>
          <w:ilvl w:val="0"/>
          <w:numId w:val="12"/>
        </w:numPr>
        <w:ind w:left="360"/>
        <w:jc w:val="both"/>
      </w:pPr>
      <w:r>
        <w:t>required by a rule of law or order of a court</w:t>
      </w:r>
      <w:r w:rsidR="00640145">
        <w:t>.</w:t>
      </w:r>
    </w:p>
    <w:p w:rsidR="00264272" w:rsidRDefault="00264272" w:rsidP="00FB571F">
      <w:pPr>
        <w:pStyle w:val="Heading1"/>
        <w:ind w:left="360"/>
      </w:pPr>
      <w:bookmarkStart w:id="10" w:name="_Toc480438288"/>
      <w:r>
        <w:t>Beneficiary Knowledge and Consent</w:t>
      </w:r>
      <w:bookmarkEnd w:id="10"/>
    </w:p>
    <w:p w:rsidR="00264272" w:rsidRDefault="00264272" w:rsidP="00354C87">
      <w:pPr>
        <w:jc w:val="both"/>
      </w:pPr>
      <w:r>
        <w:t xml:space="preserve">During beneficiary enrolment, eligible beneficiaries </w:t>
      </w:r>
      <w:r w:rsidR="000934C7">
        <w:t>are</w:t>
      </w:r>
      <w:r>
        <w:t xml:space="preserve"> </w:t>
      </w:r>
      <w:r w:rsidRPr="00264272">
        <w:t>inform</w:t>
      </w:r>
      <w:r>
        <w:t xml:space="preserve">ed of the NHIA’s </w:t>
      </w:r>
      <w:r w:rsidRPr="00264272">
        <w:t>privacy policy</w:t>
      </w:r>
      <w:r w:rsidR="00357D87">
        <w:t xml:space="preserve"> and</w:t>
      </w:r>
      <w:r>
        <w:t xml:space="preserve"> treatment </w:t>
      </w:r>
      <w:r w:rsidR="000934C7">
        <w:t xml:space="preserve">of personal data. The NHIA </w:t>
      </w:r>
      <w:r>
        <w:t>obtain</w:t>
      </w:r>
      <w:r w:rsidR="000934C7">
        <w:t>s</w:t>
      </w:r>
      <w:r>
        <w:t xml:space="preserve"> consent</w:t>
      </w:r>
      <w:r w:rsidRPr="00264272">
        <w:t xml:space="preserve"> from the appl</w:t>
      </w:r>
      <w:r w:rsidR="00357D87">
        <w:t>icant to collect personal</w:t>
      </w:r>
      <w:r w:rsidRPr="00264272">
        <w:t xml:space="preserve"> information and use it for NHI programme purposes only</w:t>
      </w:r>
      <w:r>
        <w:t>.</w:t>
      </w:r>
      <w:r w:rsidR="0028527E">
        <w:t xml:space="preserve"> Consent is required to complete enrolment.</w:t>
      </w:r>
    </w:p>
    <w:p w:rsidR="006C5173" w:rsidRPr="00264272" w:rsidRDefault="006C5173" w:rsidP="00354C87">
      <w:pPr>
        <w:jc w:val="both"/>
      </w:pPr>
      <w:r>
        <w:t>Beneficiary</w:t>
      </w:r>
      <w:r w:rsidRPr="006C5173">
        <w:t xml:space="preserve"> </w:t>
      </w:r>
      <w:r w:rsidR="00537D86">
        <w:t>contact information</w:t>
      </w:r>
      <w:r w:rsidR="00871D87">
        <w:t xml:space="preserve">, such as an </w:t>
      </w:r>
      <w:r w:rsidR="00537D86">
        <w:t>email address</w:t>
      </w:r>
      <w:r w:rsidR="00871D87">
        <w:t xml:space="preserve"> or</w:t>
      </w:r>
      <w:r w:rsidR="00537D86">
        <w:t xml:space="preserve"> cell phone number</w:t>
      </w:r>
      <w:r w:rsidR="00871D87">
        <w:t>,</w:t>
      </w:r>
      <w:r w:rsidRPr="006C5173">
        <w:t xml:space="preserve"> </w:t>
      </w:r>
      <w:r w:rsidR="000934C7">
        <w:t>is</w:t>
      </w:r>
      <w:r w:rsidRPr="006C5173">
        <w:t xml:space="preserve"> kept strictly confidential and used only to reply </w:t>
      </w:r>
      <w:r>
        <w:t xml:space="preserve">to </w:t>
      </w:r>
      <w:r w:rsidRPr="006C5173">
        <w:t xml:space="preserve">or send information </w:t>
      </w:r>
      <w:r>
        <w:t xml:space="preserve">to a beneficiary, </w:t>
      </w:r>
      <w:r w:rsidRPr="006C5173">
        <w:t xml:space="preserve">if authorized by the </w:t>
      </w:r>
      <w:r w:rsidR="00537D86">
        <w:t>individual</w:t>
      </w:r>
      <w:r w:rsidRPr="006C5173">
        <w:t>.</w:t>
      </w:r>
      <w:r w:rsidR="00354C87">
        <w:t xml:space="preserve"> Under no circumstances </w:t>
      </w:r>
      <w:r w:rsidR="000934C7">
        <w:t>is</w:t>
      </w:r>
      <w:r w:rsidR="00354C87">
        <w:t xml:space="preserve"> e-mail</w:t>
      </w:r>
      <w:r w:rsidR="00537D86">
        <w:t xml:space="preserve"> or SMS text</w:t>
      </w:r>
      <w:r w:rsidR="00354C87">
        <w:t xml:space="preserve"> correspondence used by the NHIA to collect or communicate </w:t>
      </w:r>
      <w:r w:rsidR="00516372">
        <w:t xml:space="preserve">sensitive </w:t>
      </w:r>
      <w:r w:rsidR="00354C87">
        <w:t>personal information.</w:t>
      </w:r>
    </w:p>
    <w:p w:rsidR="000F0251" w:rsidRDefault="000F0251" w:rsidP="00FB571F">
      <w:pPr>
        <w:pStyle w:val="Heading1"/>
        <w:ind w:left="360"/>
      </w:pPr>
      <w:bookmarkStart w:id="11" w:name="_Toc480438289"/>
      <w:r>
        <w:t>Data governance</w:t>
      </w:r>
      <w:bookmarkEnd w:id="11"/>
    </w:p>
    <w:p w:rsidR="00C707C9" w:rsidRDefault="00D63D7B" w:rsidP="00A716C1">
      <w:pPr>
        <w:jc w:val="both"/>
      </w:pPr>
      <w:r>
        <w:t>The NHIA</w:t>
      </w:r>
      <w:r w:rsidR="0076160C">
        <w:t>, as the government agency responsible for administering NHI Bahamas,</w:t>
      </w:r>
      <w:r w:rsidR="000934C7">
        <w:t xml:space="preserve"> </w:t>
      </w:r>
      <w:r>
        <w:t>c</w:t>
      </w:r>
      <w:r w:rsidR="0076160C">
        <w:t>ollect</w:t>
      </w:r>
      <w:r w:rsidR="000934C7">
        <w:t>s</w:t>
      </w:r>
      <w:r w:rsidR="00817D7D">
        <w:t>, process</w:t>
      </w:r>
      <w:r w:rsidR="000934C7">
        <w:t>es</w:t>
      </w:r>
      <w:r w:rsidR="00817D7D">
        <w:t>, keep</w:t>
      </w:r>
      <w:r w:rsidR="000934C7">
        <w:t>s</w:t>
      </w:r>
      <w:r w:rsidR="00817D7D">
        <w:t>, use</w:t>
      </w:r>
      <w:r w:rsidR="000934C7">
        <w:t>s</w:t>
      </w:r>
      <w:r w:rsidR="00817D7D">
        <w:t xml:space="preserve"> and disclose</w:t>
      </w:r>
      <w:r w:rsidR="000934C7">
        <w:t>s</w:t>
      </w:r>
      <w:r w:rsidR="0076160C">
        <w:t xml:space="preserve"> personal data</w:t>
      </w:r>
      <w:r w:rsidR="00817D7D">
        <w:t xml:space="preserve"> in accordance with the </w:t>
      </w:r>
      <w:r w:rsidR="00817D7D" w:rsidRPr="00143BAC">
        <w:rPr>
          <w:i/>
        </w:rPr>
        <w:t>Data Protection Act</w:t>
      </w:r>
      <w:r w:rsidR="00537D86" w:rsidRPr="00871D87">
        <w:t xml:space="preserve"> </w:t>
      </w:r>
      <w:r w:rsidR="00537D86">
        <w:t xml:space="preserve">and </w:t>
      </w:r>
      <w:r w:rsidR="00537D86" w:rsidRPr="00143BAC">
        <w:rPr>
          <w:i/>
        </w:rPr>
        <w:t>National Health Insurance Act</w:t>
      </w:r>
      <w:r w:rsidR="00871D87">
        <w:t>.</w:t>
      </w:r>
    </w:p>
    <w:p w:rsidR="00C707C9" w:rsidRDefault="0076160C" w:rsidP="00A716C1">
      <w:pPr>
        <w:jc w:val="both"/>
      </w:pPr>
      <w:r>
        <w:t>The Man</w:t>
      </w:r>
      <w:r w:rsidR="000934C7">
        <w:t xml:space="preserve">aging Director of the NHIA </w:t>
      </w:r>
      <w:r>
        <w:t>determine</w:t>
      </w:r>
      <w:r w:rsidR="000934C7">
        <w:t>s</w:t>
      </w:r>
      <w:r>
        <w:t xml:space="preserve"> the purposes </w:t>
      </w:r>
      <w:r w:rsidR="009139E1">
        <w:t>and manner in which personal data are processed.</w:t>
      </w:r>
      <w:r w:rsidR="00E81A43">
        <w:t xml:space="preserve"> </w:t>
      </w:r>
    </w:p>
    <w:p w:rsidR="00D63D7B" w:rsidRDefault="003947FA" w:rsidP="00A716C1">
      <w:pPr>
        <w:jc w:val="both"/>
      </w:pPr>
      <w:r>
        <w:t>The</w:t>
      </w:r>
      <w:r w:rsidR="000934C7">
        <w:t xml:space="preserve"> NHIA’s </w:t>
      </w:r>
      <w:r w:rsidR="00E81A43">
        <w:t>Privacy Officer</w:t>
      </w:r>
      <w:r>
        <w:t xml:space="preserve"> </w:t>
      </w:r>
      <w:r w:rsidR="000934C7">
        <w:t>is</w:t>
      </w:r>
      <w:r>
        <w:t xml:space="preserve"> designated by the Managing Director</w:t>
      </w:r>
      <w:r w:rsidR="00E81A43">
        <w:t>.</w:t>
      </w:r>
      <w:r w:rsidR="000934C7">
        <w:t xml:space="preserve"> The</w:t>
      </w:r>
      <w:r w:rsidR="004B1A1C">
        <w:t xml:space="preserve"> Privacy Officer </w:t>
      </w:r>
      <w:r w:rsidR="000934C7">
        <w:t>is</w:t>
      </w:r>
      <w:r w:rsidR="004B1A1C">
        <w:t xml:space="preserve"> a </w:t>
      </w:r>
      <w:r w:rsidR="000934C7">
        <w:t>member of the NHIA’s senior</w:t>
      </w:r>
      <w:r w:rsidR="004B1A1C">
        <w:t xml:space="preserve"> manageme</w:t>
      </w:r>
      <w:r w:rsidR="000934C7">
        <w:t>nt team with</w:t>
      </w:r>
      <w:r w:rsidR="004B1A1C">
        <w:t xml:space="preserve"> a strong understanding of the relevant laws that govern data protection in The Bahamas and</w:t>
      </w:r>
      <w:r w:rsidR="000934C7">
        <w:t xml:space="preserve"> may also possess</w:t>
      </w:r>
      <w:r w:rsidR="004B1A1C">
        <w:t xml:space="preserve"> a legal background, such as the Deputy Directory</w:t>
      </w:r>
      <w:r w:rsidR="000934C7">
        <w:t xml:space="preserve"> of Strategy, Legal and Policy.</w:t>
      </w:r>
    </w:p>
    <w:p w:rsidR="005812AE" w:rsidRDefault="003B65E1" w:rsidP="005812AE">
      <w:pPr>
        <w:pStyle w:val="Heading2"/>
      </w:pPr>
      <w:bookmarkStart w:id="12" w:name="_Toc480438290"/>
      <w:r>
        <w:t>7</w:t>
      </w:r>
      <w:r w:rsidR="005812AE">
        <w:t>.1 Memorandum of Understanding between the NHIA and NIB</w:t>
      </w:r>
      <w:r w:rsidR="00871D87" w:rsidRPr="00871D87">
        <w:t xml:space="preserve"> </w:t>
      </w:r>
      <w:r w:rsidR="00871D87">
        <w:t>specific obligations</w:t>
      </w:r>
      <w:bookmarkEnd w:id="12"/>
    </w:p>
    <w:p w:rsidR="005812AE" w:rsidRDefault="0054622F" w:rsidP="00A716C1">
      <w:pPr>
        <w:jc w:val="both"/>
      </w:pPr>
      <w:r>
        <w:t xml:space="preserve">A </w:t>
      </w:r>
      <w:r w:rsidR="005812AE">
        <w:t>Memorandum of Understanding (“MOU”) between the NHIA and NIB contains</w:t>
      </w:r>
      <w:r w:rsidR="00755E97">
        <w:t xml:space="preserve"> information regarding the sharing of data between each organization</w:t>
      </w:r>
      <w:r w:rsidR="000934C7">
        <w:t>.</w:t>
      </w:r>
    </w:p>
    <w:p w:rsidR="00E81A43" w:rsidRDefault="00E81A43" w:rsidP="00E81A43">
      <w:pPr>
        <w:jc w:val="both"/>
      </w:pPr>
      <w:r>
        <w:t xml:space="preserve">The NIB Smart Card </w:t>
      </w:r>
      <w:r w:rsidR="000934C7">
        <w:t>is</w:t>
      </w:r>
      <w:r>
        <w:t xml:space="preserve"> the primary means by which the NHIA determines eligibility to enrol in NHI Bahamas. For this purpose, the NHIA will receive and process personal data from the NIB for benef</w:t>
      </w:r>
      <w:r w:rsidR="000934C7">
        <w:t xml:space="preserve">iciary enrolment. The NHIA </w:t>
      </w:r>
      <w:r>
        <w:t>also use</w:t>
      </w:r>
      <w:r w:rsidR="000934C7">
        <w:t>s</w:t>
      </w:r>
      <w:r>
        <w:t xml:space="preserve"> NIB registration data for other purposes directly relevant to administering NHI Bahamas (e.g., determining residency, rate setting, claims processing, fraud detection, audit).</w:t>
      </w:r>
    </w:p>
    <w:p w:rsidR="005812AE" w:rsidRDefault="009139E1" w:rsidP="00A716C1">
      <w:pPr>
        <w:jc w:val="both"/>
      </w:pPr>
      <w:r>
        <w:t>The NHIA information t</w:t>
      </w:r>
      <w:r w:rsidR="000934C7">
        <w:t xml:space="preserve">echnology (“IT”) system is </w:t>
      </w:r>
      <w:r>
        <w:t>integrated with</w:t>
      </w:r>
      <w:r w:rsidR="00A361EB">
        <w:t xml:space="preserve"> a relevant subset of</w:t>
      </w:r>
      <w:r>
        <w:t xml:space="preserve"> NIB registration data</w:t>
      </w:r>
      <w:r w:rsidR="00A361EB">
        <w:t xml:space="preserve"> </w:t>
      </w:r>
      <w:r w:rsidR="00902B24">
        <w:t>for purposes directly relating to NHI Bahamas</w:t>
      </w:r>
      <w:r>
        <w:t xml:space="preserve">. The </w:t>
      </w:r>
      <w:r w:rsidR="00A361EB">
        <w:t>Director</w:t>
      </w:r>
      <w:r w:rsidR="000934C7">
        <w:t xml:space="preserve"> of the NIB</w:t>
      </w:r>
      <w:r>
        <w:t xml:space="preserve"> remain</w:t>
      </w:r>
      <w:r w:rsidR="000934C7">
        <w:t>s</w:t>
      </w:r>
      <w:r>
        <w:t xml:space="preserve"> the data controller for the data the NHIA receives from the NIB.</w:t>
      </w:r>
      <w:r w:rsidRPr="00DE52CE">
        <w:t xml:space="preserve"> </w:t>
      </w:r>
    </w:p>
    <w:p w:rsidR="009139E1" w:rsidRDefault="000934C7" w:rsidP="00A716C1">
      <w:pPr>
        <w:jc w:val="both"/>
      </w:pPr>
      <w:r>
        <w:t xml:space="preserve">The NIB </w:t>
      </w:r>
      <w:r w:rsidR="009139E1">
        <w:t>possess</w:t>
      </w:r>
      <w:r>
        <w:t>es</w:t>
      </w:r>
      <w:r w:rsidR="009139E1">
        <w:t xml:space="preserve"> the authoritative record </w:t>
      </w:r>
      <w:r>
        <w:t>of its</w:t>
      </w:r>
      <w:r w:rsidR="009139E1">
        <w:t xml:space="preserve"> registrants.</w:t>
      </w:r>
      <w:r w:rsidR="009139E1" w:rsidRPr="002A3034">
        <w:t xml:space="preserve"> </w:t>
      </w:r>
      <w:r w:rsidR="00D476DA">
        <w:t>Any</w:t>
      </w:r>
      <w:r w:rsidR="005812AE">
        <w:t xml:space="preserve"> changes to data that originate</w:t>
      </w:r>
      <w:r w:rsidR="009139E1">
        <w:t xml:space="preserve"> with </w:t>
      </w:r>
      <w:r w:rsidR="005812AE">
        <w:t xml:space="preserve">the </w:t>
      </w:r>
      <w:r w:rsidR="009139E1">
        <w:t xml:space="preserve">NIB </w:t>
      </w:r>
      <w:r>
        <w:t>are</w:t>
      </w:r>
      <w:r w:rsidR="009139E1">
        <w:t xml:space="preserve"> made in the NIB system and propagated to </w:t>
      </w:r>
      <w:r w:rsidR="005812AE">
        <w:t xml:space="preserve">the </w:t>
      </w:r>
      <w:r w:rsidR="009139E1">
        <w:t>NHIA.</w:t>
      </w:r>
      <w:r w:rsidR="009139E1" w:rsidRPr="002A3034">
        <w:t xml:space="preserve"> </w:t>
      </w:r>
      <w:r w:rsidR="00D476DA">
        <w:t xml:space="preserve">There </w:t>
      </w:r>
      <w:r>
        <w:t>is</w:t>
      </w:r>
      <w:r w:rsidR="009139E1">
        <w:t xml:space="preserve"> no feed </w:t>
      </w:r>
      <w:r w:rsidR="00A95C42">
        <w:t xml:space="preserve">of updates </w:t>
      </w:r>
      <w:r w:rsidR="009139E1">
        <w:t xml:space="preserve">from </w:t>
      </w:r>
      <w:r w:rsidR="005812AE">
        <w:t xml:space="preserve">the </w:t>
      </w:r>
      <w:r w:rsidR="009139E1">
        <w:t xml:space="preserve">NHIA </w:t>
      </w:r>
      <w:r w:rsidR="00D476DA">
        <w:t xml:space="preserve">IT </w:t>
      </w:r>
      <w:r w:rsidR="009139E1">
        <w:t>system to the NIB</w:t>
      </w:r>
      <w:r w:rsidR="00A95C42">
        <w:t xml:space="preserve"> registrant data set</w:t>
      </w:r>
      <w:r w:rsidR="005812AE">
        <w:t xml:space="preserve"> </w:t>
      </w:r>
      <w:r w:rsidR="009139E1">
        <w:t>(e.g., to record address changes, name changes, etc.).</w:t>
      </w:r>
    </w:p>
    <w:p w:rsidR="00B8619A" w:rsidRDefault="009139E1" w:rsidP="00A716C1">
      <w:pPr>
        <w:jc w:val="both"/>
      </w:pPr>
      <w:r>
        <w:t xml:space="preserve">The NHIA </w:t>
      </w:r>
      <w:r w:rsidR="00B8619A">
        <w:t>has</w:t>
      </w:r>
      <w:r>
        <w:t xml:space="preserve"> access privi</w:t>
      </w:r>
      <w:r w:rsidR="005812AE">
        <w:t xml:space="preserve">leges and </w:t>
      </w:r>
      <w:r w:rsidR="00D476DA">
        <w:t>duty of care for</w:t>
      </w:r>
      <w:r w:rsidR="00024538">
        <w:t xml:space="preserve"> a relevant subset of</w:t>
      </w:r>
      <w:r>
        <w:t xml:space="preserve"> NIB</w:t>
      </w:r>
      <w:r w:rsidR="00D476DA">
        <w:t xml:space="preserve"> data</w:t>
      </w:r>
      <w:r w:rsidR="00024538">
        <w:t xml:space="preserve"> (e.g. </w:t>
      </w:r>
      <w:r w:rsidR="00B8619A">
        <w:t>NI</w:t>
      </w:r>
      <w:r w:rsidR="00024538">
        <w:t xml:space="preserve"> numbers)</w:t>
      </w:r>
      <w:r>
        <w:t>, which includes NHIA inte</w:t>
      </w:r>
      <w:r w:rsidR="00B8619A">
        <w:t>ractions with Providers</w:t>
      </w:r>
      <w:r>
        <w:t>.</w:t>
      </w:r>
      <w:r w:rsidR="004002F4">
        <w:t xml:space="preserve"> </w:t>
      </w:r>
    </w:p>
    <w:p w:rsidR="007B4E26" w:rsidRDefault="004002F4" w:rsidP="00A716C1">
      <w:pPr>
        <w:jc w:val="both"/>
      </w:pPr>
      <w:r>
        <w:t xml:space="preserve">Individual Providers </w:t>
      </w:r>
      <w:r w:rsidR="00B8619A">
        <w:t>are</w:t>
      </w:r>
      <w:r>
        <w:t xml:space="preserve"> the data controllers </w:t>
      </w:r>
      <w:r w:rsidR="00B8619A">
        <w:t>for</w:t>
      </w:r>
      <w:r>
        <w:t xml:space="preserve"> their facilities for claims and activity data that they hold </w:t>
      </w:r>
      <w:r w:rsidR="00B8619A">
        <w:t>for</w:t>
      </w:r>
      <w:r>
        <w:t xml:space="preserve"> their </w:t>
      </w:r>
      <w:r w:rsidR="00B8619A">
        <w:t>b</w:t>
      </w:r>
      <w:r>
        <w:t xml:space="preserve">eneficiaries. </w:t>
      </w:r>
      <w:r w:rsidR="00D63D7B">
        <w:t xml:space="preserve">The </w:t>
      </w:r>
      <w:r w:rsidR="007B4E26">
        <w:t xml:space="preserve">NHIA </w:t>
      </w:r>
      <w:r w:rsidR="00B8619A">
        <w:t>has</w:t>
      </w:r>
      <w:r w:rsidR="00D63D7B">
        <w:t xml:space="preserve"> </w:t>
      </w:r>
      <w:r w:rsidR="007B4E26">
        <w:t>access privileges</w:t>
      </w:r>
      <w:r w:rsidR="005812AE">
        <w:t xml:space="preserve"> and duty of care for Provider data</w:t>
      </w:r>
      <w:r w:rsidR="007B4E26">
        <w:t xml:space="preserve"> in order to carry ou</w:t>
      </w:r>
      <w:r w:rsidR="00DE52CE">
        <w:t xml:space="preserve">t </w:t>
      </w:r>
      <w:r w:rsidR="00B8619A">
        <w:t>its</w:t>
      </w:r>
      <w:r w:rsidR="002C1022">
        <w:t xml:space="preserve"> responsibilities. </w:t>
      </w:r>
      <w:r w:rsidR="00B8619A">
        <w:t>The NHIA</w:t>
      </w:r>
      <w:r w:rsidR="00D63D7B">
        <w:t xml:space="preserve"> process</w:t>
      </w:r>
      <w:r w:rsidR="00B8619A">
        <w:t>es</w:t>
      </w:r>
      <w:r w:rsidR="00D63D7B">
        <w:t xml:space="preserve"> data</w:t>
      </w:r>
      <w:r w:rsidR="00A95C42">
        <w:t>, including for the purposes of adjudicating</w:t>
      </w:r>
      <w:r w:rsidR="005812AE">
        <w:t xml:space="preserve"> claims and detect</w:t>
      </w:r>
      <w:r w:rsidR="00B8619A">
        <w:t>ing</w:t>
      </w:r>
      <w:r w:rsidR="005812AE">
        <w:t xml:space="preserve"> fraud.</w:t>
      </w:r>
    </w:p>
    <w:p w:rsidR="005812AE" w:rsidRPr="007B4E26" w:rsidRDefault="003B65E1" w:rsidP="005812AE">
      <w:pPr>
        <w:pStyle w:val="Heading2"/>
      </w:pPr>
      <w:bookmarkStart w:id="13" w:name="_Toc480438291"/>
      <w:r>
        <w:t>7</w:t>
      </w:r>
      <w:r w:rsidR="005812AE">
        <w:t>.2 Provider registration</w:t>
      </w:r>
      <w:bookmarkEnd w:id="13"/>
    </w:p>
    <w:p w:rsidR="00A716C1" w:rsidRDefault="00A716C1" w:rsidP="00B8619A">
      <w:pPr>
        <w:spacing w:after="0"/>
        <w:jc w:val="both"/>
      </w:pPr>
      <w:r>
        <w:t xml:space="preserve">The NHIA IT system </w:t>
      </w:r>
      <w:r w:rsidR="00B8619A">
        <w:t>is</w:t>
      </w:r>
      <w:r>
        <w:t xml:space="preserve"> used by Providers to:</w:t>
      </w:r>
    </w:p>
    <w:p w:rsidR="00A716C1" w:rsidRDefault="00A716C1" w:rsidP="00B8619A">
      <w:pPr>
        <w:pStyle w:val="ListParagraph"/>
        <w:numPr>
          <w:ilvl w:val="0"/>
          <w:numId w:val="6"/>
        </w:numPr>
        <w:spacing w:before="0"/>
        <w:contextualSpacing w:val="0"/>
        <w:jc w:val="both"/>
      </w:pPr>
      <w:r>
        <w:t>verify that a beneficiary who receives covered benefits</w:t>
      </w:r>
      <w:r w:rsidRPr="0099045E">
        <w:t xml:space="preserve"> is enrolled</w:t>
      </w:r>
      <w:r>
        <w:t xml:space="preserve"> in NHI Bahamas; and</w:t>
      </w:r>
    </w:p>
    <w:p w:rsidR="00A716C1" w:rsidRDefault="00A716C1" w:rsidP="00617908">
      <w:pPr>
        <w:pStyle w:val="ListParagraph"/>
        <w:numPr>
          <w:ilvl w:val="0"/>
          <w:numId w:val="6"/>
        </w:numPr>
        <w:spacing w:before="0" w:after="160"/>
        <w:jc w:val="both"/>
      </w:pPr>
      <w:r>
        <w:t>r</w:t>
      </w:r>
      <w:r w:rsidR="00B8619A">
        <w:t>eport P</w:t>
      </w:r>
      <w:r w:rsidRPr="0099045E">
        <w:t xml:space="preserve">rovider service activities.  </w:t>
      </w:r>
    </w:p>
    <w:p w:rsidR="00B8619A" w:rsidRDefault="00D9241D" w:rsidP="00A716C1">
      <w:pPr>
        <w:jc w:val="both"/>
      </w:pPr>
      <w:r>
        <w:t>During Provider regist</w:t>
      </w:r>
      <w:r w:rsidR="00B8619A">
        <w:t>ration, Provider facilities name a</w:t>
      </w:r>
      <w:r w:rsidR="0099045E" w:rsidRPr="0099045E">
        <w:t xml:space="preserve"> person</w:t>
      </w:r>
      <w:r>
        <w:t xml:space="preserve"> or persons</w:t>
      </w:r>
      <w:r w:rsidR="0099045E" w:rsidRPr="0099045E">
        <w:t xml:space="preserve"> who </w:t>
      </w:r>
      <w:r>
        <w:t>will</w:t>
      </w:r>
      <w:r w:rsidR="0099045E" w:rsidRPr="0099045E">
        <w:t xml:space="preserve"> have online access to the NHIA </w:t>
      </w:r>
      <w:r>
        <w:t xml:space="preserve">IT </w:t>
      </w:r>
      <w:r w:rsidR="0099045E" w:rsidRPr="0099045E">
        <w:t>system</w:t>
      </w:r>
      <w:r w:rsidR="005812AE">
        <w:t xml:space="preserve"> that enables processing of personal data</w:t>
      </w:r>
      <w:r>
        <w:t xml:space="preserve">. </w:t>
      </w:r>
    </w:p>
    <w:p w:rsidR="00B8619A" w:rsidRDefault="00B8619A" w:rsidP="00A716C1">
      <w:pPr>
        <w:jc w:val="both"/>
      </w:pPr>
      <w:r>
        <w:t xml:space="preserve">For </w:t>
      </w:r>
      <w:r w:rsidR="00D9241D">
        <w:t xml:space="preserve">Provider facilities </w:t>
      </w:r>
      <w:r>
        <w:t>with</w:t>
      </w:r>
      <w:r w:rsidR="0099045E" w:rsidRPr="0099045E">
        <w:t xml:space="preserve"> multiple</w:t>
      </w:r>
      <w:r w:rsidR="00D9241D">
        <w:t xml:space="preserve"> </w:t>
      </w:r>
      <w:r>
        <w:t xml:space="preserve">registered </w:t>
      </w:r>
      <w:r w:rsidR="00D9241D">
        <w:t>Providers</w:t>
      </w:r>
      <w:r w:rsidR="0099045E" w:rsidRPr="0099045E">
        <w:t xml:space="preserve"> (e.g.</w:t>
      </w:r>
      <w:r w:rsidR="00D9241D">
        <w:t>,</w:t>
      </w:r>
      <w:r w:rsidR="0099045E" w:rsidRPr="0099045E">
        <w:t xml:space="preserve"> a primary care </w:t>
      </w:r>
      <w:r w:rsidR="00406750">
        <w:t xml:space="preserve">physician </w:t>
      </w:r>
      <w:r w:rsidR="00D9241D" w:rsidRPr="00B8619A">
        <w:rPr>
          <w:i/>
        </w:rPr>
        <w:t>and</w:t>
      </w:r>
      <w:r w:rsidR="00D9241D">
        <w:t xml:space="preserve"> a laboratory Provider), the users </w:t>
      </w:r>
      <w:r>
        <w:t>are</w:t>
      </w:r>
      <w:r w:rsidR="0099045E" w:rsidRPr="0099045E">
        <w:t xml:space="preserve"> authorized to </w:t>
      </w:r>
      <w:r w:rsidR="00D9241D">
        <w:t>act specifically on behalf of their respective unit. The same individual</w:t>
      </w:r>
      <w:r w:rsidR="0099045E" w:rsidRPr="0099045E">
        <w:t xml:space="preserve"> </w:t>
      </w:r>
      <w:r>
        <w:t xml:space="preserve">may </w:t>
      </w:r>
      <w:r w:rsidR="0099045E" w:rsidRPr="0099045E">
        <w:t xml:space="preserve">be named for multiple units, or different </w:t>
      </w:r>
      <w:r>
        <w:t>individuals</w:t>
      </w:r>
      <w:r w:rsidR="0099045E" w:rsidRPr="0099045E">
        <w:t xml:space="preserve"> </w:t>
      </w:r>
      <w:r>
        <w:t xml:space="preserve">may </w:t>
      </w:r>
      <w:r w:rsidR="0099045E" w:rsidRPr="0099045E">
        <w:t>be designated for each unit at t</w:t>
      </w:r>
      <w:r w:rsidR="00D9241D">
        <w:t>he</w:t>
      </w:r>
      <w:r w:rsidR="0099045E" w:rsidRPr="0099045E">
        <w:t xml:space="preserve"> discretion</w:t>
      </w:r>
      <w:r w:rsidR="00D9241D">
        <w:t xml:space="preserve"> of the Provider facility</w:t>
      </w:r>
      <w:r w:rsidR="0099045E" w:rsidRPr="0099045E">
        <w:t>.</w:t>
      </w:r>
      <w:r w:rsidR="0099045E">
        <w:t xml:space="preserve"> </w:t>
      </w:r>
    </w:p>
    <w:p w:rsidR="0099045E" w:rsidRDefault="00A716C1" w:rsidP="00A716C1">
      <w:pPr>
        <w:jc w:val="both"/>
      </w:pPr>
      <w:r>
        <w:t>Only persons</w:t>
      </w:r>
      <w:r w:rsidR="00024538">
        <w:t xml:space="preserve"> from a Provider facility’s pre-qualified list</w:t>
      </w:r>
      <w:r w:rsidR="00B8619A">
        <w:t xml:space="preserve"> who</w:t>
      </w:r>
      <w:r w:rsidR="00024538">
        <w:t xml:space="preserve"> are also </w:t>
      </w:r>
      <w:r>
        <w:t>authorized by the NHIA are permitted to access personal data. Under no circumstances can named persons give their user identification (“ID”) and password to other individuals</w:t>
      </w:r>
      <w:r w:rsidR="00A33913">
        <w:t>.</w:t>
      </w:r>
    </w:p>
    <w:p w:rsidR="00840086" w:rsidRPr="0020798C" w:rsidRDefault="00840086" w:rsidP="00FB571F">
      <w:pPr>
        <w:pStyle w:val="Heading1"/>
        <w:ind w:left="360"/>
      </w:pPr>
      <w:bookmarkStart w:id="14" w:name="_Toc480438292"/>
      <w:r w:rsidRPr="0020798C">
        <w:t>Training</w:t>
      </w:r>
      <w:r w:rsidR="00264272">
        <w:t xml:space="preserve"> and Awareness</w:t>
      </w:r>
      <w:bookmarkEnd w:id="14"/>
    </w:p>
    <w:p w:rsidR="003B65E1" w:rsidRDefault="00840086" w:rsidP="00281A6A">
      <w:pPr>
        <w:spacing w:after="0"/>
        <w:jc w:val="both"/>
      </w:pPr>
      <w:r>
        <w:t>A</w:t>
      </w:r>
      <w:r w:rsidRPr="00025ED0">
        <w:t>ll</w:t>
      </w:r>
      <w:r w:rsidR="00281A6A">
        <w:t xml:space="preserve"> NHIA staff</w:t>
      </w:r>
      <w:r w:rsidR="003B65E1">
        <w:t>:</w:t>
      </w:r>
    </w:p>
    <w:p w:rsidR="003B65E1" w:rsidRDefault="00840086" w:rsidP="00253953">
      <w:pPr>
        <w:pStyle w:val="ListParagraph"/>
        <w:numPr>
          <w:ilvl w:val="0"/>
          <w:numId w:val="14"/>
        </w:numPr>
        <w:spacing w:before="0"/>
        <w:contextualSpacing w:val="0"/>
        <w:jc w:val="both"/>
      </w:pPr>
      <w:r>
        <w:t>r</w:t>
      </w:r>
      <w:r w:rsidR="006B6879">
        <w:t>eceive a copy of the NHI</w:t>
      </w:r>
      <w:r w:rsidR="00406750">
        <w:t>A</w:t>
      </w:r>
      <w:r>
        <w:t xml:space="preserve"> Privacy Policy</w:t>
      </w:r>
      <w:r w:rsidR="006B6879">
        <w:t xml:space="preserve"> and </w:t>
      </w:r>
      <w:r w:rsidR="00281A6A">
        <w:t xml:space="preserve">the </w:t>
      </w:r>
      <w:r w:rsidR="006B6879">
        <w:rPr>
          <w:i/>
        </w:rPr>
        <w:t>Data Protection Act</w:t>
      </w:r>
      <w:r w:rsidR="003B65E1">
        <w:t>;</w:t>
      </w:r>
    </w:p>
    <w:p w:rsidR="003B65E1" w:rsidRDefault="00281A6A" w:rsidP="00253953">
      <w:pPr>
        <w:pStyle w:val="ListParagraph"/>
        <w:numPr>
          <w:ilvl w:val="0"/>
          <w:numId w:val="14"/>
        </w:numPr>
        <w:jc w:val="both"/>
      </w:pPr>
      <w:r>
        <w:t>are</w:t>
      </w:r>
      <w:r w:rsidR="00B92851">
        <w:t xml:space="preserve"> made aware of their role-based privacy responsibilities</w:t>
      </w:r>
      <w:r w:rsidR="003B65E1">
        <w:t>;</w:t>
      </w:r>
      <w:r w:rsidR="00840086">
        <w:t xml:space="preserve"> and </w:t>
      </w:r>
    </w:p>
    <w:p w:rsidR="00840086" w:rsidRDefault="006B6879" w:rsidP="00253953">
      <w:pPr>
        <w:pStyle w:val="ListParagraph"/>
        <w:numPr>
          <w:ilvl w:val="0"/>
          <w:numId w:val="14"/>
        </w:numPr>
        <w:spacing w:before="0" w:after="160"/>
        <w:contextualSpacing w:val="0"/>
        <w:jc w:val="both"/>
      </w:pPr>
      <w:r>
        <w:t xml:space="preserve">receive annual training in </w:t>
      </w:r>
      <w:r w:rsidR="00840086">
        <w:t>privacy.</w:t>
      </w:r>
    </w:p>
    <w:p w:rsidR="00281A6A" w:rsidRDefault="00AA269A" w:rsidP="00253953">
      <w:pPr>
        <w:jc w:val="both"/>
      </w:pPr>
      <w:r>
        <w:t>The NHIA requires a</w:t>
      </w:r>
      <w:r w:rsidR="00024538">
        <w:t xml:space="preserve">ll registered </w:t>
      </w:r>
      <w:r>
        <w:t xml:space="preserve">Provider staff </w:t>
      </w:r>
      <w:r w:rsidRPr="00025ED0">
        <w:t>wh</w:t>
      </w:r>
      <w:r>
        <w:t>o handle data related to NHI Bahamas and personal data related to</w:t>
      </w:r>
      <w:r w:rsidR="0054622F">
        <w:t xml:space="preserve"> enrolled beneficiaries</w:t>
      </w:r>
      <w:r>
        <w:t xml:space="preserve"> </w:t>
      </w:r>
      <w:r w:rsidR="0054622F">
        <w:t xml:space="preserve">to </w:t>
      </w:r>
      <w:r>
        <w:t>review the NHIA Privacy Policy and</w:t>
      </w:r>
      <w:r w:rsidR="00281A6A">
        <w:t xml:space="preserve"> the</w:t>
      </w:r>
      <w:r>
        <w:t xml:space="preserve"> </w:t>
      </w:r>
      <w:r>
        <w:rPr>
          <w:i/>
        </w:rPr>
        <w:t>Data Protection Act.</w:t>
      </w:r>
      <w:r w:rsidR="00840086">
        <w:t xml:space="preserve"> </w:t>
      </w:r>
    </w:p>
    <w:p w:rsidR="00840086" w:rsidRDefault="00AA269A" w:rsidP="00253953">
      <w:pPr>
        <w:jc w:val="both"/>
      </w:pPr>
      <w:r>
        <w:t xml:space="preserve">The NHIA also requires all registered Provider staff to </w:t>
      </w:r>
      <w:r w:rsidR="006B6879">
        <w:t xml:space="preserve">complete </w:t>
      </w:r>
      <w:r w:rsidR="00406750">
        <w:t xml:space="preserve">privacy </w:t>
      </w:r>
      <w:r w:rsidR="006B6879">
        <w:t>training</w:t>
      </w:r>
      <w:r w:rsidR="00024538">
        <w:t xml:space="preserve"> before </w:t>
      </w:r>
      <w:r w:rsidR="0092151D">
        <w:t xml:space="preserve">handling any data related to </w:t>
      </w:r>
      <w:r w:rsidR="00024538">
        <w:t>NHI Bahamas or personal data</w:t>
      </w:r>
      <w:r w:rsidR="0092151D">
        <w:t xml:space="preserve"> related to enrolled beneficiaries</w:t>
      </w:r>
      <w:r w:rsidR="006B6879">
        <w:t>.</w:t>
      </w:r>
      <w:r>
        <w:t xml:space="preserve"> This privacy training should be done on an annual basis.</w:t>
      </w:r>
      <w:r>
        <w:rPr>
          <w:i/>
        </w:rPr>
        <w:t xml:space="preserve"> </w:t>
      </w:r>
      <w:r w:rsidR="006B6879">
        <w:t xml:space="preserve">Each </w:t>
      </w:r>
      <w:r w:rsidR="00840086">
        <w:t xml:space="preserve">Provider </w:t>
      </w:r>
      <w:r w:rsidR="00840086" w:rsidRPr="00025ED0">
        <w:t xml:space="preserve">facility </w:t>
      </w:r>
      <w:r w:rsidR="00840086">
        <w:t>must</w:t>
      </w:r>
      <w:r w:rsidR="006B6879">
        <w:t xml:space="preserve"> attest to the NHIA that their staff</w:t>
      </w:r>
      <w:r w:rsidR="00840086" w:rsidRPr="00025ED0">
        <w:t xml:space="preserve"> has </w:t>
      </w:r>
      <w:r w:rsidR="006B6879">
        <w:t>completed</w:t>
      </w:r>
      <w:r w:rsidR="00840086" w:rsidRPr="00025ED0">
        <w:t xml:space="preserve"> training</w:t>
      </w:r>
      <w:r w:rsidR="006B6879">
        <w:t xml:space="preserve"> and </w:t>
      </w:r>
      <w:r w:rsidR="003B65E1">
        <w:t xml:space="preserve">provide </w:t>
      </w:r>
      <w:r w:rsidR="006B6879">
        <w:t xml:space="preserve">a description of that training. </w:t>
      </w:r>
      <w:r w:rsidR="00840086">
        <w:t xml:space="preserve">These terms </w:t>
      </w:r>
      <w:r w:rsidR="00281A6A">
        <w:t>are</w:t>
      </w:r>
      <w:r w:rsidR="00840086">
        <w:t xml:space="preserve"> included in </w:t>
      </w:r>
      <w:r w:rsidR="006B6879">
        <w:t>the master agreement</w:t>
      </w:r>
      <w:r w:rsidR="00840086" w:rsidRPr="00025ED0">
        <w:t xml:space="preserve"> signed </w:t>
      </w:r>
      <w:r w:rsidR="00281A6A">
        <w:t>by</w:t>
      </w:r>
      <w:r w:rsidR="00840086" w:rsidRPr="00025ED0">
        <w:t xml:space="preserve"> each </w:t>
      </w:r>
      <w:r w:rsidR="00840086">
        <w:t xml:space="preserve">Provider </w:t>
      </w:r>
      <w:r w:rsidR="00840086" w:rsidRPr="00025ED0">
        <w:t>facility</w:t>
      </w:r>
      <w:r w:rsidR="00281A6A">
        <w:t xml:space="preserve"> with the NHIA</w:t>
      </w:r>
      <w:r w:rsidR="00840086" w:rsidRPr="00025ED0">
        <w:t>.</w:t>
      </w:r>
    </w:p>
    <w:p w:rsidR="006B6879" w:rsidRDefault="006B6879" w:rsidP="00281A6A">
      <w:pPr>
        <w:spacing w:after="0"/>
        <w:jc w:val="both"/>
      </w:pPr>
      <w:r>
        <w:t>Acceptable forms of privacy training include:</w:t>
      </w:r>
    </w:p>
    <w:p w:rsidR="006B6879" w:rsidRDefault="006B6879" w:rsidP="00281A6A">
      <w:pPr>
        <w:pStyle w:val="ListParagraph"/>
        <w:numPr>
          <w:ilvl w:val="0"/>
          <w:numId w:val="7"/>
        </w:numPr>
        <w:spacing w:before="0"/>
        <w:contextualSpacing w:val="0"/>
        <w:jc w:val="both"/>
      </w:pPr>
      <w:r>
        <w:t xml:space="preserve">a certified course in privacy (online or </w:t>
      </w:r>
      <w:r w:rsidR="00281A6A">
        <w:t>in-person</w:t>
      </w:r>
      <w:r>
        <w:t>)</w:t>
      </w:r>
      <w:r w:rsidR="0092151D">
        <w:t xml:space="preserve"> that is endorsed by the Office of Bahamas Data Protection Commissioner</w:t>
      </w:r>
      <w:r w:rsidR="00AA269A">
        <w:t xml:space="preserve"> in conjunction with the NHIA</w:t>
      </w:r>
      <w:r>
        <w:t>;</w:t>
      </w:r>
      <w:r w:rsidR="00281A6A">
        <w:t xml:space="preserve"> or</w:t>
      </w:r>
    </w:p>
    <w:p w:rsidR="006B6879" w:rsidRDefault="006B6879" w:rsidP="00253953">
      <w:pPr>
        <w:pStyle w:val="ListParagraph"/>
        <w:numPr>
          <w:ilvl w:val="0"/>
          <w:numId w:val="7"/>
        </w:numPr>
        <w:jc w:val="both"/>
      </w:pPr>
      <w:r>
        <w:t>a presentation made by the</w:t>
      </w:r>
      <w:r w:rsidR="00406750">
        <w:t xml:space="preserve"> Office of</w:t>
      </w:r>
      <w:r>
        <w:t xml:space="preserve"> Baham</w:t>
      </w:r>
      <w:r w:rsidR="00281A6A">
        <w:t>as Data Protection Commissioner.</w:t>
      </w:r>
    </w:p>
    <w:p w:rsidR="00B115C2" w:rsidRDefault="00B115C2" w:rsidP="00FB571F">
      <w:pPr>
        <w:pStyle w:val="Heading1"/>
        <w:ind w:left="360"/>
      </w:pPr>
      <w:bookmarkStart w:id="15" w:name="_Toc480438293"/>
      <w:r>
        <w:t>Security Safeguards</w:t>
      </w:r>
      <w:bookmarkEnd w:id="15"/>
    </w:p>
    <w:p w:rsidR="00281A6A" w:rsidRDefault="00DA3BB7" w:rsidP="00496DAC">
      <w:pPr>
        <w:jc w:val="both"/>
      </w:pPr>
      <w:r>
        <w:t>Privacy and information management are key components of the NHIA IT strategy.</w:t>
      </w:r>
      <w:r w:rsidR="00F22A49" w:rsidRPr="00D83180">
        <w:t xml:space="preserve"> </w:t>
      </w:r>
    </w:p>
    <w:p w:rsidR="00496DAC" w:rsidRDefault="00F22A49" w:rsidP="00496DAC">
      <w:pPr>
        <w:jc w:val="both"/>
      </w:pPr>
      <w:r w:rsidRPr="00D83180">
        <w:t>Any information the NHIA collects from or about beneficiaries is transmitted through a secure server and is used only for the purpose for which it was collected.</w:t>
      </w:r>
      <w:r w:rsidR="007D0E3C">
        <w:t xml:space="preserve"> Only those with proper authorizat</w:t>
      </w:r>
      <w:r w:rsidR="00281A6A">
        <w:t xml:space="preserve">ion and approval from the NHIA </w:t>
      </w:r>
      <w:r w:rsidR="007D0E3C">
        <w:t xml:space="preserve">Privacy Officer </w:t>
      </w:r>
      <w:r w:rsidR="00281A6A">
        <w:t>are</w:t>
      </w:r>
      <w:r w:rsidR="007D0E3C">
        <w:t xml:space="preserve"> able to access or handle sensitive personal data, including personal health information. </w:t>
      </w:r>
      <w:r w:rsidR="00496DAC">
        <w:t xml:space="preserve">Efforts </w:t>
      </w:r>
      <w:r w:rsidR="00281A6A">
        <w:t>are</w:t>
      </w:r>
      <w:r w:rsidR="00496DAC">
        <w:t xml:space="preserve"> in place to eliminate the opportunity for misrepresentation to gain access to the NHIA IT system and any privacy inciden</w:t>
      </w:r>
      <w:r w:rsidR="00281A6A">
        <w:t>ts will be acted upon swiftly. (See Section 10: Privacy incidents)</w:t>
      </w:r>
    </w:p>
    <w:p w:rsidR="00496DAC" w:rsidRDefault="00496DAC" w:rsidP="00253953">
      <w:pPr>
        <w:jc w:val="both"/>
      </w:pPr>
      <w:r>
        <w:t xml:space="preserve">Any paper records containing sensitive personal data </w:t>
      </w:r>
      <w:r w:rsidR="00281A6A">
        <w:t>are</w:t>
      </w:r>
      <w:r>
        <w:t xml:space="preserve"> located </w:t>
      </w:r>
      <w:r w:rsidR="00281A6A">
        <w:t xml:space="preserve">out of site or common areas </w:t>
      </w:r>
      <w:r>
        <w:t xml:space="preserve">so as to minimize incidental disclosure of information. When not in use, they </w:t>
      </w:r>
      <w:r w:rsidR="00281A6A">
        <w:t>are</w:t>
      </w:r>
      <w:r>
        <w:t xml:space="preserve"> stored where there is controlled </w:t>
      </w:r>
      <w:r w:rsidR="00281A6A">
        <w:t>access through locked cabinets.</w:t>
      </w:r>
    </w:p>
    <w:p w:rsidR="00496DAC" w:rsidRDefault="00496DAC" w:rsidP="00253953">
      <w:pPr>
        <w:jc w:val="both"/>
      </w:pPr>
      <w:r>
        <w:t>After their purpose has been served, all electronic and digital records located on a</w:t>
      </w:r>
      <w:r w:rsidR="00334367">
        <w:t>n electronic</w:t>
      </w:r>
      <w:r>
        <w:t xml:space="preserve"> storage device </w:t>
      </w:r>
      <w:r w:rsidR="00334367">
        <w:t xml:space="preserve">(e.g., CD-R, USB) </w:t>
      </w:r>
      <w:r>
        <w:t>must be physically destroyed or magnetically erased</w:t>
      </w:r>
      <w:r w:rsidR="00AA269A">
        <w:t xml:space="preserve"> as per industry standards</w:t>
      </w:r>
      <w:r>
        <w:t xml:space="preserve">. </w:t>
      </w:r>
      <w:r w:rsidR="004C5EFA">
        <w:t>In addition, s</w:t>
      </w:r>
      <w:r>
        <w:t xml:space="preserve">ensitive personal data must never be stored on a </w:t>
      </w:r>
      <w:r w:rsidR="004C5EFA">
        <w:t xml:space="preserve">non-secure device </w:t>
      </w:r>
      <w:r>
        <w:t>(e.g.</w:t>
      </w:r>
      <w:r w:rsidR="00F77A9F">
        <w:t>,</w:t>
      </w:r>
      <w:r>
        <w:t xml:space="preserve"> personal computer, mobile device).</w:t>
      </w:r>
    </w:p>
    <w:p w:rsidR="00AA269A" w:rsidRDefault="00AA269A" w:rsidP="00253953">
      <w:pPr>
        <w:jc w:val="both"/>
      </w:pPr>
      <w:r>
        <w:t>Where a Provider</w:t>
      </w:r>
      <w:r w:rsidR="009440C0">
        <w:t xml:space="preserve"> </w:t>
      </w:r>
      <w:r>
        <w:t xml:space="preserve">has historically </w:t>
      </w:r>
      <w:r w:rsidR="009440C0">
        <w:t>maintained</w:t>
      </w:r>
      <w:r>
        <w:t xml:space="preserve"> personal data on a non-secure device</w:t>
      </w:r>
      <w:r w:rsidR="00F77A9F">
        <w:t xml:space="preserve"> prior to registering with the NHIA</w:t>
      </w:r>
      <w:r>
        <w:t xml:space="preserve">, </w:t>
      </w:r>
      <w:r w:rsidR="00F77A9F">
        <w:t>the Provider</w:t>
      </w:r>
      <w:r>
        <w:t xml:space="preserve"> must immediately modify their pattern of practice</w:t>
      </w:r>
      <w:r w:rsidR="00F77A9F">
        <w:t>s</w:t>
      </w:r>
      <w:r w:rsidR="009440C0">
        <w:t xml:space="preserve"> going forward</w:t>
      </w:r>
      <w:r>
        <w:t xml:space="preserve"> to comply with the security safeguards outlined in the NHIA </w:t>
      </w:r>
      <w:r w:rsidR="00F77A9F">
        <w:t>Privacy P</w:t>
      </w:r>
      <w:r>
        <w:t>olicy.</w:t>
      </w:r>
    </w:p>
    <w:p w:rsidR="000A580A" w:rsidRPr="00496DAC" w:rsidRDefault="00496DAC" w:rsidP="001D2C3C">
      <w:pPr>
        <w:jc w:val="both"/>
      </w:pPr>
      <w:r>
        <w:t xml:space="preserve">Any hard copy documents containing personal health information that are to be disposed of must be discarded into designated </w:t>
      </w:r>
      <w:r w:rsidR="009440C0">
        <w:t>paper shredding</w:t>
      </w:r>
      <w:r w:rsidR="0069458C">
        <w:t xml:space="preserve"> containers. T</w:t>
      </w:r>
      <w:r>
        <w:t xml:space="preserve">hey </w:t>
      </w:r>
      <w:r w:rsidR="0069458C">
        <w:t>must not</w:t>
      </w:r>
      <w:r>
        <w:t xml:space="preserve"> be discarded with regular garbage or recycling.</w:t>
      </w:r>
    </w:p>
    <w:p w:rsidR="00AB65B5" w:rsidRDefault="00AB65B5" w:rsidP="00FB571F">
      <w:pPr>
        <w:pStyle w:val="Heading1"/>
        <w:ind w:left="360"/>
      </w:pPr>
      <w:bookmarkStart w:id="16" w:name="_Toc480438294"/>
      <w:r>
        <w:t>Privacy incidents</w:t>
      </w:r>
      <w:bookmarkEnd w:id="16"/>
    </w:p>
    <w:p w:rsidR="0069458C" w:rsidRDefault="004C5EFA" w:rsidP="004C5EFA">
      <w:pPr>
        <w:jc w:val="both"/>
      </w:pPr>
      <w:r>
        <w:t xml:space="preserve">The NHIA </w:t>
      </w:r>
      <w:r w:rsidR="0069458C">
        <w:t>will</w:t>
      </w:r>
      <w:r>
        <w:t xml:space="preserve"> contain, investigate and address all privacy incidents or breaches. </w:t>
      </w:r>
    </w:p>
    <w:p w:rsidR="007522CD" w:rsidRDefault="004C5EFA" w:rsidP="004C5EFA">
      <w:pPr>
        <w:jc w:val="both"/>
      </w:pPr>
      <w:r>
        <w:t>All NHIA personnel are responsible for immediately reporting a privacy incident or bre</w:t>
      </w:r>
      <w:r w:rsidR="009440C0">
        <w:t>ach to the N</w:t>
      </w:r>
      <w:r w:rsidR="007522CD">
        <w:t xml:space="preserve">HIA Privacy Officer. It is </w:t>
      </w:r>
      <w:r w:rsidR="009440C0">
        <w:t xml:space="preserve">the NHIA Privacy Officer’s responsibility to report privacy incidents or breaches to NHIA </w:t>
      </w:r>
      <w:r w:rsidR="00DB5B6C">
        <w:t>management</w:t>
      </w:r>
      <w:r w:rsidR="009440C0">
        <w:t>.</w:t>
      </w:r>
      <w:r>
        <w:t xml:space="preserve"> </w:t>
      </w:r>
    </w:p>
    <w:p w:rsidR="004C5EFA" w:rsidRDefault="004C5EFA" w:rsidP="004C5EFA">
      <w:pPr>
        <w:jc w:val="both"/>
      </w:pPr>
      <w:r>
        <w:t xml:space="preserve">Any person reporting an incident, from the NHIA or otherwise, is required to provide a description of the incident or breach, the individuals involved and immediate steps taken, if any, to contain the incident or breach. </w:t>
      </w:r>
    </w:p>
    <w:p w:rsidR="004C5EFA" w:rsidRDefault="004C5EFA" w:rsidP="004C5EFA">
      <w:pPr>
        <w:jc w:val="both"/>
      </w:pPr>
      <w:r>
        <w:t>The NHIA extends whistleblower protection</w:t>
      </w:r>
      <w:r w:rsidR="007522CD">
        <w:t xml:space="preserve"> (i.e., </w:t>
      </w:r>
      <w:r w:rsidR="009440C0">
        <w:t>confidentiality</w:t>
      </w:r>
      <w:r w:rsidR="007522CD">
        <w:t xml:space="preserve"> and immunity</w:t>
      </w:r>
      <w:r w:rsidR="009440C0">
        <w:t>)</w:t>
      </w:r>
      <w:r>
        <w:t xml:space="preserve"> to anyone who reports a privacy incident or breach.</w:t>
      </w:r>
    </w:p>
    <w:p w:rsidR="004C5EFA" w:rsidRDefault="004C5EFA" w:rsidP="00253953">
      <w:pPr>
        <w:jc w:val="both"/>
      </w:pPr>
      <w:r>
        <w:t>All NHIA personnel are responsible for actively supporting the NHIA Privacy Officer in privacy incident or breach containment, investigation and remediation activities as needed.</w:t>
      </w:r>
    </w:p>
    <w:p w:rsidR="001434DF" w:rsidRDefault="009B0AC3" w:rsidP="00253953">
      <w:pPr>
        <w:jc w:val="both"/>
      </w:pPr>
      <w:r>
        <w:t xml:space="preserve">The NHIA Privacy Officer </w:t>
      </w:r>
      <w:r w:rsidR="001434DF">
        <w:t>work</w:t>
      </w:r>
      <w:r>
        <w:t>s</w:t>
      </w:r>
      <w:r w:rsidR="001434DF">
        <w:t xml:space="preserve"> in conjunction, as appropriate, with the Office of Bahamas Data Protection Commissioner to address reported privacy incidents.</w:t>
      </w:r>
    </w:p>
    <w:p w:rsidR="001F3085" w:rsidRPr="00AB65B5" w:rsidRDefault="001F3085" w:rsidP="00253953">
      <w:pPr>
        <w:jc w:val="both"/>
      </w:pPr>
      <w:r w:rsidRPr="001F3085">
        <w:t>If you think the confidentiality of your personal health information has been compromised in any way or have questions</w:t>
      </w:r>
      <w:r>
        <w:t xml:space="preserve"> about this policy</w:t>
      </w:r>
      <w:r w:rsidRPr="001F3085">
        <w:t xml:space="preserve">, please contact </w:t>
      </w:r>
      <w:r>
        <w:t>the NHIA</w:t>
      </w:r>
      <w:r w:rsidRPr="001F3085">
        <w:t xml:space="preserve"> </w:t>
      </w:r>
      <w:r>
        <w:t>Privacy Officer</w:t>
      </w:r>
      <w:r w:rsidR="009440C0">
        <w:t xml:space="preserve">. </w:t>
      </w:r>
    </w:p>
    <w:p w:rsidR="006B6879" w:rsidRDefault="00264272" w:rsidP="00FB571F">
      <w:pPr>
        <w:pStyle w:val="Heading1"/>
        <w:ind w:left="360"/>
      </w:pPr>
      <w:bookmarkStart w:id="17" w:name="_Toc480438295"/>
      <w:r>
        <w:t>Compliance Monitoring</w:t>
      </w:r>
      <w:bookmarkEnd w:id="17"/>
    </w:p>
    <w:p w:rsidR="009520DC" w:rsidRDefault="009B0AC3" w:rsidP="00084F54">
      <w:pPr>
        <w:spacing w:after="0"/>
        <w:jc w:val="both"/>
      </w:pPr>
      <w:r>
        <w:t>The NHIA</w:t>
      </w:r>
      <w:r w:rsidR="00DA3BB7">
        <w:t xml:space="preserve"> monitor</w:t>
      </w:r>
      <w:r>
        <w:t>s</w:t>
      </w:r>
      <w:r w:rsidR="00DA3BB7">
        <w:t xml:space="preserve"> comp</w:t>
      </w:r>
      <w:r w:rsidR="00AB65B5">
        <w:t>liance with this privacy policy on a routine basis.</w:t>
      </w:r>
      <w:r w:rsidR="00E607B4">
        <w:t xml:space="preserve"> Compliance monitoring includes:</w:t>
      </w:r>
    </w:p>
    <w:p w:rsidR="00E607B4" w:rsidRDefault="00E607B4" w:rsidP="00084F54">
      <w:pPr>
        <w:pStyle w:val="ListParagraph"/>
        <w:numPr>
          <w:ilvl w:val="0"/>
          <w:numId w:val="15"/>
        </w:numPr>
        <w:spacing w:before="0"/>
        <w:contextualSpacing w:val="0"/>
        <w:jc w:val="both"/>
      </w:pPr>
      <w:r>
        <w:t>confidentiality agreements;</w:t>
      </w:r>
    </w:p>
    <w:p w:rsidR="00E607B4" w:rsidRDefault="00E607B4" w:rsidP="00253953">
      <w:pPr>
        <w:pStyle w:val="ListParagraph"/>
        <w:numPr>
          <w:ilvl w:val="0"/>
          <w:numId w:val="15"/>
        </w:numPr>
        <w:jc w:val="both"/>
      </w:pPr>
      <w:r>
        <w:t xml:space="preserve">NHIA operational </w:t>
      </w:r>
      <w:r w:rsidRPr="00E607B4">
        <w:t>policies that outline privacy expectations</w:t>
      </w:r>
      <w:r>
        <w:t>;</w:t>
      </w:r>
    </w:p>
    <w:p w:rsidR="00E607B4" w:rsidRDefault="00E607B4" w:rsidP="00253953">
      <w:pPr>
        <w:pStyle w:val="ListParagraph"/>
        <w:numPr>
          <w:ilvl w:val="0"/>
          <w:numId w:val="15"/>
        </w:numPr>
        <w:jc w:val="both"/>
      </w:pPr>
      <w:r w:rsidRPr="00E607B4">
        <w:t>regular audits</w:t>
      </w:r>
      <w:r>
        <w:t>; and</w:t>
      </w:r>
    </w:p>
    <w:p w:rsidR="00E607B4" w:rsidRDefault="00E607B4" w:rsidP="00253953">
      <w:pPr>
        <w:pStyle w:val="ListParagraph"/>
        <w:numPr>
          <w:ilvl w:val="0"/>
          <w:numId w:val="15"/>
        </w:numPr>
        <w:spacing w:before="0" w:after="160"/>
        <w:contextualSpacing w:val="0"/>
        <w:jc w:val="both"/>
      </w:pPr>
      <w:r w:rsidRPr="00E607B4">
        <w:t>security controls</w:t>
      </w:r>
      <w:r>
        <w:t>.</w:t>
      </w:r>
    </w:p>
    <w:p w:rsidR="00AB65B5" w:rsidRPr="00DA3BB7" w:rsidRDefault="00AB65B5" w:rsidP="00253953">
      <w:pPr>
        <w:jc w:val="both"/>
      </w:pPr>
      <w:r>
        <w:t xml:space="preserve">The NHIA’s </w:t>
      </w:r>
      <w:r w:rsidR="009B0AC3">
        <w:t xml:space="preserve">Privacy Officer </w:t>
      </w:r>
      <w:r>
        <w:t>report</w:t>
      </w:r>
      <w:r w:rsidR="009B0AC3">
        <w:t>s the results of</w:t>
      </w:r>
      <w:r>
        <w:t xml:space="preserve"> compliance monitoring to the NHIA Board on a quarterly basis.</w:t>
      </w:r>
    </w:p>
    <w:sectPr w:rsidR="00AB65B5" w:rsidRPr="00DA3BB7" w:rsidSect="00D1437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2D" w:rsidRDefault="00BA022D" w:rsidP="009E44CB">
      <w:pPr>
        <w:spacing w:after="0" w:line="240" w:lineRule="auto"/>
      </w:pPr>
      <w:r>
        <w:separator/>
      </w:r>
    </w:p>
  </w:endnote>
  <w:endnote w:type="continuationSeparator" w:id="0">
    <w:p w:rsidR="00BA022D" w:rsidRDefault="00BA022D" w:rsidP="009E44CB">
      <w:pPr>
        <w:spacing w:after="0" w:line="240" w:lineRule="auto"/>
      </w:pPr>
      <w:r>
        <w:continuationSeparator/>
      </w:r>
    </w:p>
  </w:endnote>
  <w:endnote w:type="continuationNotice" w:id="1">
    <w:p w:rsidR="00BA022D" w:rsidRDefault="00BA0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99012"/>
      <w:docPartObj>
        <w:docPartGallery w:val="Page Numbers (Bottom of Page)"/>
        <w:docPartUnique/>
      </w:docPartObj>
    </w:sdtPr>
    <w:sdtEndPr>
      <w:rPr>
        <w:noProof/>
      </w:rPr>
    </w:sdtEndPr>
    <w:sdtContent>
      <w:p w:rsidR="00D1437E" w:rsidRDefault="00D1437E">
        <w:pPr>
          <w:pStyle w:val="Footer"/>
          <w:jc w:val="right"/>
        </w:pPr>
        <w:r>
          <w:fldChar w:fldCharType="begin"/>
        </w:r>
        <w:r>
          <w:instrText xml:space="preserve"> PAGE   \* MERGEFORMAT </w:instrText>
        </w:r>
        <w:r>
          <w:fldChar w:fldCharType="separate"/>
        </w:r>
        <w:r w:rsidR="00FA5187">
          <w:rPr>
            <w:noProof/>
          </w:rPr>
          <w:t>9</w:t>
        </w:r>
        <w:r>
          <w:rPr>
            <w:noProof/>
          </w:rPr>
          <w:fldChar w:fldCharType="end"/>
        </w:r>
      </w:p>
    </w:sdtContent>
  </w:sdt>
  <w:p w:rsidR="004B1A1C" w:rsidRPr="009E44CB" w:rsidRDefault="004B1A1C" w:rsidP="009E44CB">
    <w:pPr>
      <w:pStyle w:val="Footer"/>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2D" w:rsidRDefault="00BA022D" w:rsidP="009E44CB">
      <w:pPr>
        <w:spacing w:after="0" w:line="240" w:lineRule="auto"/>
      </w:pPr>
      <w:r>
        <w:separator/>
      </w:r>
    </w:p>
  </w:footnote>
  <w:footnote w:type="continuationSeparator" w:id="0">
    <w:p w:rsidR="00BA022D" w:rsidRDefault="00BA022D" w:rsidP="009E44CB">
      <w:pPr>
        <w:spacing w:after="0" w:line="240" w:lineRule="auto"/>
      </w:pPr>
      <w:r>
        <w:continuationSeparator/>
      </w:r>
    </w:p>
  </w:footnote>
  <w:footnote w:type="continuationNotice" w:id="1">
    <w:p w:rsidR="00BA022D" w:rsidRDefault="00BA02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1C" w:rsidRDefault="004B1A1C">
    <w:pPr>
      <w:pStyle w:val="Header"/>
    </w:pPr>
    <w:r>
      <w:rPr>
        <w:noProof/>
        <w:lang w:val="en-US"/>
      </w:rPr>
      <w:drawing>
        <wp:anchor distT="0" distB="0" distL="114300" distR="114300" simplePos="0" relativeHeight="251658244" behindDoc="1" locked="0" layoutInCell="1" allowOverlap="1" wp14:anchorId="1090A752" wp14:editId="186FA45F">
          <wp:simplePos x="0" y="0"/>
          <wp:positionH relativeFrom="margin">
            <wp:posOffset>-219456</wp:posOffset>
          </wp:positionH>
          <wp:positionV relativeFrom="paragraph">
            <wp:posOffset>122860</wp:posOffset>
          </wp:positionV>
          <wp:extent cx="2266950" cy="685800"/>
          <wp:effectExtent l="0" t="0" r="0" b="0"/>
          <wp:wrapTight wrapText="bothSides">
            <wp:wrapPolygon edited="0">
              <wp:start x="1815" y="0"/>
              <wp:lineTo x="0" y="3000"/>
              <wp:lineTo x="0" y="15600"/>
              <wp:lineTo x="908" y="19200"/>
              <wp:lineTo x="1815" y="21000"/>
              <wp:lineTo x="4538" y="21000"/>
              <wp:lineTo x="5445" y="19200"/>
              <wp:lineTo x="21418" y="16800"/>
              <wp:lineTo x="21418" y="6600"/>
              <wp:lineTo x="4538" y="0"/>
              <wp:lineTo x="18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hamas NHI logo.png"/>
                  <pic:cNvPicPr/>
                </pic:nvPicPr>
                <pic:blipFill>
                  <a:blip r:embed="rId1">
                    <a:extLst>
                      <a:ext uri="{28A0092B-C50C-407E-A947-70E740481C1C}">
                        <a14:useLocalDpi xmlns:a14="http://schemas.microsoft.com/office/drawing/2010/main" val="0"/>
                      </a:ext>
                    </a:extLst>
                  </a:blip>
                  <a:stretch>
                    <a:fillRect/>
                  </a:stretch>
                </pic:blipFill>
                <pic:spPr>
                  <a:xfrm>
                    <a:off x="0" y="0"/>
                    <a:ext cx="2266950" cy="685800"/>
                  </a:xfrm>
                  <a:prstGeom prst="rect">
                    <a:avLst/>
                  </a:prstGeom>
                </pic:spPr>
              </pic:pic>
            </a:graphicData>
          </a:graphic>
          <wp14:sizeRelH relativeFrom="page">
            <wp14:pctWidth>0</wp14:pctWidth>
          </wp14:sizeRelH>
          <wp14:sizeRelV relativeFrom="page">
            <wp14:pctHeight>0</wp14:pctHeight>
          </wp14:sizeRelV>
        </wp:anchor>
      </w:drawing>
    </w:r>
  </w:p>
  <w:p w:rsidR="004B1A1C" w:rsidRDefault="004B1A1C">
    <w:pPr>
      <w:pStyle w:val="Header"/>
    </w:pPr>
  </w:p>
  <w:p w:rsidR="004B1A1C" w:rsidRDefault="004B1A1C">
    <w:pPr>
      <w:pStyle w:val="Header"/>
    </w:pPr>
  </w:p>
  <w:p w:rsidR="004B1A1C" w:rsidRDefault="004B1A1C">
    <w:pPr>
      <w:pStyle w:val="Header"/>
    </w:pPr>
  </w:p>
  <w:p w:rsidR="004B1A1C" w:rsidRDefault="004B1A1C">
    <w:pPr>
      <w:pStyle w:val="Header"/>
    </w:pPr>
  </w:p>
  <w:p w:rsidR="004B1A1C" w:rsidRDefault="004B1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1C" w:rsidRDefault="004B1A1C">
    <w:pPr>
      <w:pStyle w:val="Header"/>
    </w:pPr>
    <w:r>
      <w:rPr>
        <w:noProof/>
        <w:lang w:val="en-US"/>
      </w:rPr>
      <w:drawing>
        <wp:anchor distT="0" distB="0" distL="114300" distR="114300" simplePos="0" relativeHeight="251658240" behindDoc="1" locked="0" layoutInCell="1" allowOverlap="1" wp14:anchorId="6D285BF3" wp14:editId="405C5A62">
          <wp:simplePos x="0" y="0"/>
          <wp:positionH relativeFrom="margin">
            <wp:posOffset>-212039</wp:posOffset>
          </wp:positionH>
          <wp:positionV relativeFrom="paragraph">
            <wp:posOffset>77470</wp:posOffset>
          </wp:positionV>
          <wp:extent cx="2266950" cy="685800"/>
          <wp:effectExtent l="0" t="0" r="0" b="0"/>
          <wp:wrapTight wrapText="bothSides">
            <wp:wrapPolygon edited="0">
              <wp:start x="1815" y="0"/>
              <wp:lineTo x="0" y="3000"/>
              <wp:lineTo x="0" y="15600"/>
              <wp:lineTo x="908" y="19200"/>
              <wp:lineTo x="1815" y="21000"/>
              <wp:lineTo x="4538" y="21000"/>
              <wp:lineTo x="5445" y="19200"/>
              <wp:lineTo x="21418" y="16800"/>
              <wp:lineTo x="21418" y="6600"/>
              <wp:lineTo x="4538" y="0"/>
              <wp:lineTo x="18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hamas NHI logo.png"/>
                  <pic:cNvPicPr/>
                </pic:nvPicPr>
                <pic:blipFill>
                  <a:blip r:embed="rId1">
                    <a:extLst>
                      <a:ext uri="{28A0092B-C50C-407E-A947-70E740481C1C}">
                        <a14:useLocalDpi xmlns:a14="http://schemas.microsoft.com/office/drawing/2010/main" val="0"/>
                      </a:ext>
                    </a:extLst>
                  </a:blip>
                  <a:stretch>
                    <a:fillRect/>
                  </a:stretch>
                </pic:blipFill>
                <pic:spPr>
                  <a:xfrm>
                    <a:off x="0" y="0"/>
                    <a:ext cx="2266950" cy="685800"/>
                  </a:xfrm>
                  <a:prstGeom prst="rect">
                    <a:avLst/>
                  </a:prstGeom>
                </pic:spPr>
              </pic:pic>
            </a:graphicData>
          </a:graphic>
          <wp14:sizeRelH relativeFrom="page">
            <wp14:pctWidth>0</wp14:pctWidth>
          </wp14:sizeRelH>
          <wp14:sizeRelV relativeFrom="page">
            <wp14:pctHeight>0</wp14:pctHeight>
          </wp14:sizeRelV>
        </wp:anchor>
      </w:drawing>
    </w:r>
  </w:p>
  <w:p w:rsidR="004B1A1C" w:rsidRDefault="004B1A1C">
    <w:pPr>
      <w:pStyle w:val="Header"/>
    </w:pPr>
  </w:p>
  <w:p w:rsidR="004B1A1C" w:rsidRDefault="004B1A1C">
    <w:pPr>
      <w:pStyle w:val="Header"/>
    </w:pPr>
  </w:p>
  <w:p w:rsidR="004B1A1C" w:rsidRDefault="004B1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AA4"/>
    <w:multiLevelType w:val="singleLevel"/>
    <w:tmpl w:val="12905DD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
    <w:nsid w:val="0A0924CB"/>
    <w:multiLevelType w:val="hybridMultilevel"/>
    <w:tmpl w:val="95207B08"/>
    <w:lvl w:ilvl="0" w:tplc="3E42E6DA">
      <w:start w:val="1"/>
      <w:numFmt w:val="bullet"/>
      <w:lvlText w:val=""/>
      <w:lvlJc w:val="left"/>
      <w:pPr>
        <w:ind w:left="360" w:hanging="360"/>
      </w:pPr>
      <w:rPr>
        <w:rFonts w:ascii="Symbol" w:hAnsi="Symbol" w:hint="default"/>
        <w:color w:val="auto"/>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C8C0568"/>
    <w:multiLevelType w:val="hybridMultilevel"/>
    <w:tmpl w:val="15C470D6"/>
    <w:lvl w:ilvl="0" w:tplc="04090003">
      <w:start w:val="1"/>
      <w:numFmt w:val="bullet"/>
      <w:lvlText w:val="o"/>
      <w:lvlJc w:val="left"/>
      <w:pPr>
        <w:ind w:left="720" w:hanging="360"/>
      </w:pPr>
      <w:rPr>
        <w:rFonts w:ascii="Courier New" w:hAnsi="Courier New" w:cs="Courier New"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F74168"/>
    <w:multiLevelType w:val="multilevel"/>
    <w:tmpl w:val="513E1378"/>
    <w:lvl w:ilvl="0">
      <w:start w:val="1"/>
      <w:numFmt w:val="decimal"/>
      <w:pStyle w:val="Heading1"/>
      <w:lvlText w:val="%1."/>
      <w:lvlJc w:val="left"/>
      <w:pPr>
        <w:ind w:left="63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4B4650E"/>
    <w:multiLevelType w:val="singleLevel"/>
    <w:tmpl w:val="586806BE"/>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160906C8"/>
    <w:multiLevelType w:val="singleLevel"/>
    <w:tmpl w:val="3E42E6DA"/>
    <w:lvl w:ilvl="0">
      <w:start w:val="1"/>
      <w:numFmt w:val="bullet"/>
      <w:lvlText w:val=""/>
      <w:lvlJc w:val="left"/>
      <w:pPr>
        <w:ind w:left="720" w:hanging="360"/>
      </w:pPr>
      <w:rPr>
        <w:rFonts w:ascii="Symbol" w:hAnsi="Symbol" w:hint="default"/>
        <w:color w:val="auto"/>
        <w:sz w:val="22"/>
      </w:rPr>
    </w:lvl>
  </w:abstractNum>
  <w:abstractNum w:abstractNumId="6">
    <w:nsid w:val="18117C8A"/>
    <w:multiLevelType w:val="singleLevel"/>
    <w:tmpl w:val="3E42E6DA"/>
    <w:lvl w:ilvl="0">
      <w:start w:val="1"/>
      <w:numFmt w:val="bullet"/>
      <w:lvlText w:val=""/>
      <w:lvlJc w:val="left"/>
      <w:pPr>
        <w:ind w:left="360" w:hanging="360"/>
      </w:pPr>
      <w:rPr>
        <w:rFonts w:ascii="Symbol" w:hAnsi="Symbol" w:hint="default"/>
        <w:color w:val="auto"/>
        <w:sz w:val="22"/>
      </w:rPr>
    </w:lvl>
  </w:abstractNum>
  <w:abstractNum w:abstractNumId="7">
    <w:nsid w:val="19B73AA5"/>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8">
    <w:nsid w:val="1B577F32"/>
    <w:multiLevelType w:val="hybridMultilevel"/>
    <w:tmpl w:val="047ECEC2"/>
    <w:lvl w:ilvl="0" w:tplc="3E42E6DA">
      <w:start w:val="1"/>
      <w:numFmt w:val="bullet"/>
      <w:lvlText w:val=""/>
      <w:lvlJc w:val="left"/>
      <w:pPr>
        <w:ind w:left="360" w:hanging="360"/>
      </w:pPr>
      <w:rPr>
        <w:rFonts w:ascii="Symbol" w:hAnsi="Symbol" w:hint="default"/>
        <w:color w:val="auto"/>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4FB6A4E"/>
    <w:multiLevelType w:val="singleLevel"/>
    <w:tmpl w:val="3E42E6DA"/>
    <w:lvl w:ilvl="0">
      <w:start w:val="1"/>
      <w:numFmt w:val="bullet"/>
      <w:lvlText w:val=""/>
      <w:lvlJc w:val="left"/>
      <w:pPr>
        <w:ind w:left="360" w:hanging="360"/>
      </w:pPr>
      <w:rPr>
        <w:rFonts w:ascii="Symbol" w:hAnsi="Symbol" w:hint="default"/>
        <w:color w:val="auto"/>
        <w:sz w:val="22"/>
      </w:rPr>
    </w:lvl>
  </w:abstractNum>
  <w:abstractNum w:abstractNumId="10">
    <w:nsid w:val="2F284345"/>
    <w:multiLevelType w:val="hybridMultilevel"/>
    <w:tmpl w:val="E66ED0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65051BB"/>
    <w:multiLevelType w:val="hybridMultilevel"/>
    <w:tmpl w:val="8E0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E6623"/>
    <w:multiLevelType w:val="hybridMultilevel"/>
    <w:tmpl w:val="C862DF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8405D"/>
    <w:multiLevelType w:val="singleLevel"/>
    <w:tmpl w:val="3E42E6DA"/>
    <w:lvl w:ilvl="0">
      <w:start w:val="1"/>
      <w:numFmt w:val="bullet"/>
      <w:lvlText w:val=""/>
      <w:lvlJc w:val="left"/>
      <w:pPr>
        <w:ind w:left="360" w:hanging="360"/>
      </w:pPr>
      <w:rPr>
        <w:rFonts w:ascii="Symbol" w:hAnsi="Symbol" w:hint="default"/>
        <w:color w:val="auto"/>
        <w:sz w:val="22"/>
      </w:rPr>
    </w:lvl>
  </w:abstractNum>
  <w:abstractNum w:abstractNumId="14">
    <w:nsid w:val="451B4CF0"/>
    <w:multiLevelType w:val="hybridMultilevel"/>
    <w:tmpl w:val="995E4CBA"/>
    <w:lvl w:ilvl="0" w:tplc="3E42E6DA">
      <w:start w:val="1"/>
      <w:numFmt w:val="bullet"/>
      <w:lvlText w:val=""/>
      <w:lvlJc w:val="left"/>
      <w:pPr>
        <w:ind w:left="360" w:hanging="360"/>
      </w:pPr>
      <w:rPr>
        <w:rFonts w:ascii="Symbol" w:hAnsi="Symbol" w:hint="default"/>
        <w:color w:val="auto"/>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6711CA1"/>
    <w:multiLevelType w:val="hybridMultilevel"/>
    <w:tmpl w:val="EA4E6EA4"/>
    <w:lvl w:ilvl="0" w:tplc="DBE0CA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8776F"/>
    <w:multiLevelType w:val="singleLevel"/>
    <w:tmpl w:val="3E42E6DA"/>
    <w:lvl w:ilvl="0">
      <w:start w:val="1"/>
      <w:numFmt w:val="bullet"/>
      <w:lvlText w:val=""/>
      <w:lvlJc w:val="left"/>
      <w:pPr>
        <w:ind w:left="360" w:hanging="360"/>
      </w:pPr>
      <w:rPr>
        <w:rFonts w:ascii="Symbol" w:hAnsi="Symbol" w:hint="default"/>
        <w:color w:val="auto"/>
        <w:sz w:val="22"/>
      </w:rPr>
    </w:lvl>
  </w:abstractNum>
  <w:abstractNum w:abstractNumId="17">
    <w:nsid w:val="50F2286D"/>
    <w:multiLevelType w:val="singleLevel"/>
    <w:tmpl w:val="E428613C"/>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5673514F"/>
    <w:multiLevelType w:val="hybridMultilevel"/>
    <w:tmpl w:val="F0D00E2C"/>
    <w:lvl w:ilvl="0" w:tplc="3E42E6DA">
      <w:start w:val="1"/>
      <w:numFmt w:val="bullet"/>
      <w:lvlText w:val=""/>
      <w:lvlJc w:val="left"/>
      <w:pPr>
        <w:ind w:left="360" w:hanging="360"/>
      </w:pPr>
      <w:rPr>
        <w:rFonts w:ascii="Symbol" w:hAnsi="Symbol" w:hint="default"/>
        <w:color w:val="auto"/>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76C229F"/>
    <w:multiLevelType w:val="hybridMultilevel"/>
    <w:tmpl w:val="C270D3CA"/>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5A02D0"/>
    <w:multiLevelType w:val="hybridMultilevel"/>
    <w:tmpl w:val="357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F11CE"/>
    <w:multiLevelType w:val="hybridMultilevel"/>
    <w:tmpl w:val="87BEF686"/>
    <w:lvl w:ilvl="0" w:tplc="3E42E6DA">
      <w:start w:val="1"/>
      <w:numFmt w:val="bullet"/>
      <w:lvlText w:val=""/>
      <w:lvlJc w:val="left"/>
      <w:pPr>
        <w:ind w:left="360" w:hanging="360"/>
      </w:pPr>
      <w:rPr>
        <w:rFonts w:ascii="Symbol" w:hAnsi="Symbol" w:hint="default"/>
        <w:color w:val="auto"/>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2C6555F"/>
    <w:multiLevelType w:val="hybridMultilevel"/>
    <w:tmpl w:val="0D1A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A1F"/>
    <w:multiLevelType w:val="hybridMultilevel"/>
    <w:tmpl w:val="073E3DB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BAE05C3"/>
    <w:multiLevelType w:val="hybridMultilevel"/>
    <w:tmpl w:val="5308DF72"/>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7E1B2399"/>
    <w:multiLevelType w:val="singleLevel"/>
    <w:tmpl w:val="3E42E6DA"/>
    <w:lvl w:ilvl="0">
      <w:start w:val="1"/>
      <w:numFmt w:val="bullet"/>
      <w:lvlText w:val=""/>
      <w:lvlJc w:val="left"/>
      <w:pPr>
        <w:ind w:left="360" w:hanging="360"/>
      </w:pPr>
      <w:rPr>
        <w:rFonts w:ascii="Symbol" w:hAnsi="Symbol" w:hint="default"/>
        <w:color w:val="auto"/>
        <w:sz w:val="22"/>
      </w:rPr>
    </w:lvl>
  </w:abstractNum>
  <w:abstractNum w:abstractNumId="26">
    <w:nsid w:val="7F361B4E"/>
    <w:multiLevelType w:val="hybridMultilevel"/>
    <w:tmpl w:val="CC8C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3"/>
  </w:num>
  <w:num w:numId="4">
    <w:abstractNumId w:val="19"/>
  </w:num>
  <w:num w:numId="5">
    <w:abstractNumId w:val="25"/>
  </w:num>
  <w:num w:numId="6">
    <w:abstractNumId w:val="8"/>
  </w:num>
  <w:num w:numId="7">
    <w:abstractNumId w:val="1"/>
  </w:num>
  <w:num w:numId="8">
    <w:abstractNumId w:val="18"/>
  </w:num>
  <w:num w:numId="9">
    <w:abstractNumId w:val="2"/>
  </w:num>
  <w:num w:numId="10">
    <w:abstractNumId w:val="14"/>
  </w:num>
  <w:num w:numId="11">
    <w:abstractNumId w:val="9"/>
  </w:num>
  <w:num w:numId="12">
    <w:abstractNumId w:val="5"/>
  </w:num>
  <w:num w:numId="13">
    <w:abstractNumId w:val="15"/>
  </w:num>
  <w:num w:numId="14">
    <w:abstractNumId w:val="13"/>
  </w:num>
  <w:num w:numId="15">
    <w:abstractNumId w:val="16"/>
  </w:num>
  <w:num w:numId="16">
    <w:abstractNumId w:val="26"/>
  </w:num>
  <w:num w:numId="17">
    <w:abstractNumId w:val="22"/>
  </w:num>
  <w:num w:numId="18">
    <w:abstractNumId w:val="12"/>
  </w:num>
  <w:num w:numId="19">
    <w:abstractNumId w:val="0"/>
  </w:num>
  <w:num w:numId="20">
    <w:abstractNumId w:val="6"/>
  </w:num>
  <w:num w:numId="21">
    <w:abstractNumId w:val="10"/>
  </w:num>
  <w:num w:numId="22">
    <w:abstractNumId w:val="20"/>
  </w:num>
  <w:num w:numId="23">
    <w:abstractNumId w:val="11"/>
  </w:num>
  <w:num w:numId="24">
    <w:abstractNumId w:val="7"/>
  </w:num>
  <w:num w:numId="25">
    <w:abstractNumId w:val="24"/>
  </w:num>
  <w:num w:numId="26">
    <w:abstractNumId w:val="17"/>
  </w:num>
  <w:num w:numId="2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1C"/>
    <w:rsid w:val="00002CE1"/>
    <w:rsid w:val="0001230B"/>
    <w:rsid w:val="00014654"/>
    <w:rsid w:val="000218B8"/>
    <w:rsid w:val="00024538"/>
    <w:rsid w:val="000347BA"/>
    <w:rsid w:val="000413A4"/>
    <w:rsid w:val="00041A6A"/>
    <w:rsid w:val="00042BA1"/>
    <w:rsid w:val="00052BF1"/>
    <w:rsid w:val="000578EE"/>
    <w:rsid w:val="00063F65"/>
    <w:rsid w:val="00066606"/>
    <w:rsid w:val="00072A55"/>
    <w:rsid w:val="00074495"/>
    <w:rsid w:val="000768E1"/>
    <w:rsid w:val="00076FC5"/>
    <w:rsid w:val="00084EBB"/>
    <w:rsid w:val="00084F54"/>
    <w:rsid w:val="00086105"/>
    <w:rsid w:val="00086347"/>
    <w:rsid w:val="00086B8F"/>
    <w:rsid w:val="000903CB"/>
    <w:rsid w:val="00090F26"/>
    <w:rsid w:val="000934C7"/>
    <w:rsid w:val="0009489A"/>
    <w:rsid w:val="00094CFC"/>
    <w:rsid w:val="000959FA"/>
    <w:rsid w:val="000A580A"/>
    <w:rsid w:val="000A710F"/>
    <w:rsid w:val="000B30E3"/>
    <w:rsid w:val="000B6360"/>
    <w:rsid w:val="000C0310"/>
    <w:rsid w:val="000C07C2"/>
    <w:rsid w:val="000C0FE6"/>
    <w:rsid w:val="000C158C"/>
    <w:rsid w:val="000D3199"/>
    <w:rsid w:val="000D34D8"/>
    <w:rsid w:val="000D5C38"/>
    <w:rsid w:val="000E0789"/>
    <w:rsid w:val="000E10CB"/>
    <w:rsid w:val="000E2FFF"/>
    <w:rsid w:val="000E4BD9"/>
    <w:rsid w:val="000E595C"/>
    <w:rsid w:val="000E6AA2"/>
    <w:rsid w:val="000E7894"/>
    <w:rsid w:val="000F0251"/>
    <w:rsid w:val="000F091A"/>
    <w:rsid w:val="000F0E03"/>
    <w:rsid w:val="000F46EB"/>
    <w:rsid w:val="00103241"/>
    <w:rsid w:val="00111C3A"/>
    <w:rsid w:val="00114DEE"/>
    <w:rsid w:val="00115E2B"/>
    <w:rsid w:val="0012150D"/>
    <w:rsid w:val="00121E35"/>
    <w:rsid w:val="00123CA8"/>
    <w:rsid w:val="001261EA"/>
    <w:rsid w:val="00126A92"/>
    <w:rsid w:val="00132CF8"/>
    <w:rsid w:val="00137014"/>
    <w:rsid w:val="00141B58"/>
    <w:rsid w:val="001434DF"/>
    <w:rsid w:val="00143BAC"/>
    <w:rsid w:val="00147776"/>
    <w:rsid w:val="001509EA"/>
    <w:rsid w:val="001516A5"/>
    <w:rsid w:val="0015176D"/>
    <w:rsid w:val="001541AA"/>
    <w:rsid w:val="00154E82"/>
    <w:rsid w:val="00162C6F"/>
    <w:rsid w:val="00163236"/>
    <w:rsid w:val="001658FF"/>
    <w:rsid w:val="001659EA"/>
    <w:rsid w:val="001720DA"/>
    <w:rsid w:val="00176CDC"/>
    <w:rsid w:val="0018206B"/>
    <w:rsid w:val="001929CE"/>
    <w:rsid w:val="00195F25"/>
    <w:rsid w:val="001A4DCA"/>
    <w:rsid w:val="001B494E"/>
    <w:rsid w:val="001C173B"/>
    <w:rsid w:val="001C17F8"/>
    <w:rsid w:val="001C3F91"/>
    <w:rsid w:val="001C51F1"/>
    <w:rsid w:val="001C7041"/>
    <w:rsid w:val="001D2C3C"/>
    <w:rsid w:val="001D4542"/>
    <w:rsid w:val="001D4780"/>
    <w:rsid w:val="001D624F"/>
    <w:rsid w:val="001D72DB"/>
    <w:rsid w:val="001D7F17"/>
    <w:rsid w:val="001E1CA7"/>
    <w:rsid w:val="001E3BB8"/>
    <w:rsid w:val="001E7A1D"/>
    <w:rsid w:val="001F07AE"/>
    <w:rsid w:val="001F0CB1"/>
    <w:rsid w:val="001F3085"/>
    <w:rsid w:val="001F37CF"/>
    <w:rsid w:val="0020483F"/>
    <w:rsid w:val="00204EBB"/>
    <w:rsid w:val="00206A29"/>
    <w:rsid w:val="0020798C"/>
    <w:rsid w:val="0021144F"/>
    <w:rsid w:val="00213621"/>
    <w:rsid w:val="00215B7B"/>
    <w:rsid w:val="00233162"/>
    <w:rsid w:val="0023351D"/>
    <w:rsid w:val="00233BB1"/>
    <w:rsid w:val="00245F37"/>
    <w:rsid w:val="00253953"/>
    <w:rsid w:val="00256CF7"/>
    <w:rsid w:val="00257F27"/>
    <w:rsid w:val="002600DF"/>
    <w:rsid w:val="00264272"/>
    <w:rsid w:val="002710DC"/>
    <w:rsid w:val="002720DB"/>
    <w:rsid w:val="002730E0"/>
    <w:rsid w:val="002740AE"/>
    <w:rsid w:val="00280903"/>
    <w:rsid w:val="00281A6A"/>
    <w:rsid w:val="0028527E"/>
    <w:rsid w:val="0028635C"/>
    <w:rsid w:val="00296D33"/>
    <w:rsid w:val="002A1284"/>
    <w:rsid w:val="002A3034"/>
    <w:rsid w:val="002A5BF8"/>
    <w:rsid w:val="002B3488"/>
    <w:rsid w:val="002B4569"/>
    <w:rsid w:val="002B6DDB"/>
    <w:rsid w:val="002C1022"/>
    <w:rsid w:val="002C19C8"/>
    <w:rsid w:val="002E014E"/>
    <w:rsid w:val="002E3F7B"/>
    <w:rsid w:val="002F0043"/>
    <w:rsid w:val="002F37A0"/>
    <w:rsid w:val="002F41C1"/>
    <w:rsid w:val="002F4A20"/>
    <w:rsid w:val="002F51D0"/>
    <w:rsid w:val="002F5680"/>
    <w:rsid w:val="00302BC8"/>
    <w:rsid w:val="00304CE0"/>
    <w:rsid w:val="0030598B"/>
    <w:rsid w:val="00313862"/>
    <w:rsid w:val="00317B58"/>
    <w:rsid w:val="00322DF1"/>
    <w:rsid w:val="003238D7"/>
    <w:rsid w:val="0032636D"/>
    <w:rsid w:val="0033124D"/>
    <w:rsid w:val="00333B70"/>
    <w:rsid w:val="00334367"/>
    <w:rsid w:val="00341846"/>
    <w:rsid w:val="00343DFF"/>
    <w:rsid w:val="00344CA0"/>
    <w:rsid w:val="00345BD6"/>
    <w:rsid w:val="00350F34"/>
    <w:rsid w:val="00352EBB"/>
    <w:rsid w:val="00353491"/>
    <w:rsid w:val="00353516"/>
    <w:rsid w:val="00353EEA"/>
    <w:rsid w:val="0035490B"/>
    <w:rsid w:val="00354C87"/>
    <w:rsid w:val="00357D87"/>
    <w:rsid w:val="00360EE5"/>
    <w:rsid w:val="003612CC"/>
    <w:rsid w:val="003618EC"/>
    <w:rsid w:val="003666DD"/>
    <w:rsid w:val="00374EC6"/>
    <w:rsid w:val="00375DEC"/>
    <w:rsid w:val="00377A5A"/>
    <w:rsid w:val="0038106B"/>
    <w:rsid w:val="003824C0"/>
    <w:rsid w:val="00382798"/>
    <w:rsid w:val="003838D0"/>
    <w:rsid w:val="00387D8F"/>
    <w:rsid w:val="0039158C"/>
    <w:rsid w:val="003920A9"/>
    <w:rsid w:val="003947FA"/>
    <w:rsid w:val="003978BC"/>
    <w:rsid w:val="00397D6C"/>
    <w:rsid w:val="003A0181"/>
    <w:rsid w:val="003A14A1"/>
    <w:rsid w:val="003A3D96"/>
    <w:rsid w:val="003B1373"/>
    <w:rsid w:val="003B2042"/>
    <w:rsid w:val="003B57C8"/>
    <w:rsid w:val="003B5FF5"/>
    <w:rsid w:val="003B631C"/>
    <w:rsid w:val="003B65E1"/>
    <w:rsid w:val="003C1D9C"/>
    <w:rsid w:val="003C2FE1"/>
    <w:rsid w:val="003C379F"/>
    <w:rsid w:val="003C3ADB"/>
    <w:rsid w:val="003C3AF2"/>
    <w:rsid w:val="003C3D24"/>
    <w:rsid w:val="003C4026"/>
    <w:rsid w:val="003C4515"/>
    <w:rsid w:val="003D08DA"/>
    <w:rsid w:val="003D3238"/>
    <w:rsid w:val="003D5572"/>
    <w:rsid w:val="003E7178"/>
    <w:rsid w:val="003E7AD5"/>
    <w:rsid w:val="003E7C86"/>
    <w:rsid w:val="004002F4"/>
    <w:rsid w:val="00402E67"/>
    <w:rsid w:val="00403A33"/>
    <w:rsid w:val="00405BC2"/>
    <w:rsid w:val="00406750"/>
    <w:rsid w:val="00407138"/>
    <w:rsid w:val="00411405"/>
    <w:rsid w:val="004175B7"/>
    <w:rsid w:val="0042353E"/>
    <w:rsid w:val="00425188"/>
    <w:rsid w:val="00425373"/>
    <w:rsid w:val="00431327"/>
    <w:rsid w:val="00433F98"/>
    <w:rsid w:val="00435B8B"/>
    <w:rsid w:val="004445CC"/>
    <w:rsid w:val="00446410"/>
    <w:rsid w:val="0044698C"/>
    <w:rsid w:val="00455740"/>
    <w:rsid w:val="004606BB"/>
    <w:rsid w:val="00461FF7"/>
    <w:rsid w:val="0046604E"/>
    <w:rsid w:val="004667A2"/>
    <w:rsid w:val="0046790A"/>
    <w:rsid w:val="00467BBF"/>
    <w:rsid w:val="00467C66"/>
    <w:rsid w:val="00472FC9"/>
    <w:rsid w:val="004730D9"/>
    <w:rsid w:val="0047391A"/>
    <w:rsid w:val="004773CA"/>
    <w:rsid w:val="004830C3"/>
    <w:rsid w:val="00485C79"/>
    <w:rsid w:val="0048648E"/>
    <w:rsid w:val="00490F62"/>
    <w:rsid w:val="00495698"/>
    <w:rsid w:val="00496DAC"/>
    <w:rsid w:val="00496ED1"/>
    <w:rsid w:val="004A091F"/>
    <w:rsid w:val="004A3688"/>
    <w:rsid w:val="004A7621"/>
    <w:rsid w:val="004B03AB"/>
    <w:rsid w:val="004B1698"/>
    <w:rsid w:val="004B1A1C"/>
    <w:rsid w:val="004B5925"/>
    <w:rsid w:val="004B7099"/>
    <w:rsid w:val="004B748E"/>
    <w:rsid w:val="004C1A51"/>
    <w:rsid w:val="004C4B86"/>
    <w:rsid w:val="004C5EFA"/>
    <w:rsid w:val="004C6FE2"/>
    <w:rsid w:val="004E35E9"/>
    <w:rsid w:val="004E4E7A"/>
    <w:rsid w:val="004F0111"/>
    <w:rsid w:val="004F1A98"/>
    <w:rsid w:val="004F1F0F"/>
    <w:rsid w:val="004F2A0E"/>
    <w:rsid w:val="004F7FAB"/>
    <w:rsid w:val="00500DF2"/>
    <w:rsid w:val="00502B98"/>
    <w:rsid w:val="00504584"/>
    <w:rsid w:val="00504FC9"/>
    <w:rsid w:val="005074D1"/>
    <w:rsid w:val="005127AB"/>
    <w:rsid w:val="00515BE4"/>
    <w:rsid w:val="005162E7"/>
    <w:rsid w:val="00516372"/>
    <w:rsid w:val="0051781F"/>
    <w:rsid w:val="0052292C"/>
    <w:rsid w:val="00525031"/>
    <w:rsid w:val="00531D5E"/>
    <w:rsid w:val="00532399"/>
    <w:rsid w:val="005344A4"/>
    <w:rsid w:val="00534E1C"/>
    <w:rsid w:val="00536690"/>
    <w:rsid w:val="005367B4"/>
    <w:rsid w:val="00537D86"/>
    <w:rsid w:val="00542B02"/>
    <w:rsid w:val="005457AA"/>
    <w:rsid w:val="0054622F"/>
    <w:rsid w:val="0054698E"/>
    <w:rsid w:val="00546C81"/>
    <w:rsid w:val="005601F8"/>
    <w:rsid w:val="0056138C"/>
    <w:rsid w:val="005628B7"/>
    <w:rsid w:val="00562D9A"/>
    <w:rsid w:val="005709A7"/>
    <w:rsid w:val="00574C00"/>
    <w:rsid w:val="005812AE"/>
    <w:rsid w:val="0058690D"/>
    <w:rsid w:val="00587F5B"/>
    <w:rsid w:val="00591E00"/>
    <w:rsid w:val="00592F0E"/>
    <w:rsid w:val="005A049D"/>
    <w:rsid w:val="005B0020"/>
    <w:rsid w:val="005B35C9"/>
    <w:rsid w:val="005B7A36"/>
    <w:rsid w:val="005C0C95"/>
    <w:rsid w:val="005C2EE1"/>
    <w:rsid w:val="005C3D94"/>
    <w:rsid w:val="005C784C"/>
    <w:rsid w:val="005D3016"/>
    <w:rsid w:val="005D524D"/>
    <w:rsid w:val="005D7FAA"/>
    <w:rsid w:val="005E1739"/>
    <w:rsid w:val="005E6303"/>
    <w:rsid w:val="005E7233"/>
    <w:rsid w:val="005E7EF1"/>
    <w:rsid w:val="005F5315"/>
    <w:rsid w:val="0060127F"/>
    <w:rsid w:val="00614265"/>
    <w:rsid w:val="00616622"/>
    <w:rsid w:val="00617381"/>
    <w:rsid w:val="00617908"/>
    <w:rsid w:val="00620036"/>
    <w:rsid w:val="006218CE"/>
    <w:rsid w:val="00624DC2"/>
    <w:rsid w:val="00630D38"/>
    <w:rsid w:val="00633C23"/>
    <w:rsid w:val="00640145"/>
    <w:rsid w:val="0064312F"/>
    <w:rsid w:val="006432F9"/>
    <w:rsid w:val="00650B7F"/>
    <w:rsid w:val="00653BF9"/>
    <w:rsid w:val="00656CEA"/>
    <w:rsid w:val="0066274E"/>
    <w:rsid w:val="006662CE"/>
    <w:rsid w:val="006673EF"/>
    <w:rsid w:val="00673944"/>
    <w:rsid w:val="00673E3F"/>
    <w:rsid w:val="0067470F"/>
    <w:rsid w:val="006877DB"/>
    <w:rsid w:val="00687DF2"/>
    <w:rsid w:val="00691479"/>
    <w:rsid w:val="0069247B"/>
    <w:rsid w:val="00692806"/>
    <w:rsid w:val="0069458C"/>
    <w:rsid w:val="006969C0"/>
    <w:rsid w:val="006A784F"/>
    <w:rsid w:val="006A7B94"/>
    <w:rsid w:val="006B160E"/>
    <w:rsid w:val="006B1A7D"/>
    <w:rsid w:val="006B31D2"/>
    <w:rsid w:val="006B430D"/>
    <w:rsid w:val="006B6879"/>
    <w:rsid w:val="006C041B"/>
    <w:rsid w:val="006C5173"/>
    <w:rsid w:val="006C58D9"/>
    <w:rsid w:val="006D29EC"/>
    <w:rsid w:val="006D409A"/>
    <w:rsid w:val="006D56BC"/>
    <w:rsid w:val="006D6063"/>
    <w:rsid w:val="006D6C7B"/>
    <w:rsid w:val="006E007C"/>
    <w:rsid w:val="006E12A0"/>
    <w:rsid w:val="006E145E"/>
    <w:rsid w:val="006E1729"/>
    <w:rsid w:val="006E2410"/>
    <w:rsid w:val="006E3384"/>
    <w:rsid w:val="006E66A3"/>
    <w:rsid w:val="006E6956"/>
    <w:rsid w:val="006E6A4E"/>
    <w:rsid w:val="006E6FA0"/>
    <w:rsid w:val="006E7894"/>
    <w:rsid w:val="006F050E"/>
    <w:rsid w:val="006F1868"/>
    <w:rsid w:val="006F1FF1"/>
    <w:rsid w:val="006F3B75"/>
    <w:rsid w:val="00700A96"/>
    <w:rsid w:val="0070263E"/>
    <w:rsid w:val="007050EC"/>
    <w:rsid w:val="00705A90"/>
    <w:rsid w:val="00706533"/>
    <w:rsid w:val="00711DEE"/>
    <w:rsid w:val="00711F54"/>
    <w:rsid w:val="00713A1A"/>
    <w:rsid w:val="00713A88"/>
    <w:rsid w:val="007143B5"/>
    <w:rsid w:val="00716028"/>
    <w:rsid w:val="00720379"/>
    <w:rsid w:val="00721414"/>
    <w:rsid w:val="0072380C"/>
    <w:rsid w:val="00725972"/>
    <w:rsid w:val="00726384"/>
    <w:rsid w:val="0072689A"/>
    <w:rsid w:val="00732996"/>
    <w:rsid w:val="00734C05"/>
    <w:rsid w:val="007368B9"/>
    <w:rsid w:val="00743297"/>
    <w:rsid w:val="007450CF"/>
    <w:rsid w:val="00746A6A"/>
    <w:rsid w:val="00747509"/>
    <w:rsid w:val="00752195"/>
    <w:rsid w:val="007522CD"/>
    <w:rsid w:val="00755E97"/>
    <w:rsid w:val="007577CF"/>
    <w:rsid w:val="00757EAF"/>
    <w:rsid w:val="0076160C"/>
    <w:rsid w:val="007619CE"/>
    <w:rsid w:val="007626AE"/>
    <w:rsid w:val="00763538"/>
    <w:rsid w:val="00763A14"/>
    <w:rsid w:val="00764EA6"/>
    <w:rsid w:val="00765554"/>
    <w:rsid w:val="007665F0"/>
    <w:rsid w:val="0077100C"/>
    <w:rsid w:val="00777929"/>
    <w:rsid w:val="00781F85"/>
    <w:rsid w:val="00783995"/>
    <w:rsid w:val="007867F9"/>
    <w:rsid w:val="007907B3"/>
    <w:rsid w:val="00793B72"/>
    <w:rsid w:val="007A0EFF"/>
    <w:rsid w:val="007A20EE"/>
    <w:rsid w:val="007A3D4A"/>
    <w:rsid w:val="007A6744"/>
    <w:rsid w:val="007B1A2D"/>
    <w:rsid w:val="007B39EC"/>
    <w:rsid w:val="007B3EA7"/>
    <w:rsid w:val="007B3F21"/>
    <w:rsid w:val="007B46A7"/>
    <w:rsid w:val="007B4E26"/>
    <w:rsid w:val="007C22DC"/>
    <w:rsid w:val="007C5209"/>
    <w:rsid w:val="007D041F"/>
    <w:rsid w:val="007D0E3C"/>
    <w:rsid w:val="007D252F"/>
    <w:rsid w:val="007D4D24"/>
    <w:rsid w:val="007D60C6"/>
    <w:rsid w:val="007E186B"/>
    <w:rsid w:val="007E1AC6"/>
    <w:rsid w:val="007F138C"/>
    <w:rsid w:val="007F263A"/>
    <w:rsid w:val="007F4D6C"/>
    <w:rsid w:val="007F6CFB"/>
    <w:rsid w:val="007F7ABD"/>
    <w:rsid w:val="0080631B"/>
    <w:rsid w:val="00811CE1"/>
    <w:rsid w:val="008140E5"/>
    <w:rsid w:val="008140F5"/>
    <w:rsid w:val="008179E9"/>
    <w:rsid w:val="00817D7D"/>
    <w:rsid w:val="0082284E"/>
    <w:rsid w:val="00824FBD"/>
    <w:rsid w:val="00830194"/>
    <w:rsid w:val="0083041A"/>
    <w:rsid w:val="00830EFA"/>
    <w:rsid w:val="00840086"/>
    <w:rsid w:val="008501FF"/>
    <w:rsid w:val="008503E9"/>
    <w:rsid w:val="00850DE2"/>
    <w:rsid w:val="008514AD"/>
    <w:rsid w:val="008540DF"/>
    <w:rsid w:val="008541BC"/>
    <w:rsid w:val="0085736F"/>
    <w:rsid w:val="00860F9C"/>
    <w:rsid w:val="00863A07"/>
    <w:rsid w:val="008640C3"/>
    <w:rsid w:val="00865BC0"/>
    <w:rsid w:val="00866647"/>
    <w:rsid w:val="00866F5E"/>
    <w:rsid w:val="00871D87"/>
    <w:rsid w:val="008740A1"/>
    <w:rsid w:val="00874B8F"/>
    <w:rsid w:val="008753F4"/>
    <w:rsid w:val="008761BB"/>
    <w:rsid w:val="00882B9D"/>
    <w:rsid w:val="00884D4C"/>
    <w:rsid w:val="00886040"/>
    <w:rsid w:val="0089391F"/>
    <w:rsid w:val="008958BE"/>
    <w:rsid w:val="00896DEC"/>
    <w:rsid w:val="008A23D2"/>
    <w:rsid w:val="008A26DB"/>
    <w:rsid w:val="008A4DDE"/>
    <w:rsid w:val="008B3722"/>
    <w:rsid w:val="008B4C64"/>
    <w:rsid w:val="008C10AB"/>
    <w:rsid w:val="008C4E5F"/>
    <w:rsid w:val="008C63CF"/>
    <w:rsid w:val="008D0BE6"/>
    <w:rsid w:val="008D235C"/>
    <w:rsid w:val="008D5834"/>
    <w:rsid w:val="008D5D54"/>
    <w:rsid w:val="008E060B"/>
    <w:rsid w:val="008E1B52"/>
    <w:rsid w:val="008E276F"/>
    <w:rsid w:val="008E4EBC"/>
    <w:rsid w:val="008E556F"/>
    <w:rsid w:val="008F2830"/>
    <w:rsid w:val="008F436E"/>
    <w:rsid w:val="008F7444"/>
    <w:rsid w:val="00902B24"/>
    <w:rsid w:val="00903C6A"/>
    <w:rsid w:val="009068B7"/>
    <w:rsid w:val="009124F5"/>
    <w:rsid w:val="009139E1"/>
    <w:rsid w:val="0091467A"/>
    <w:rsid w:val="009147B4"/>
    <w:rsid w:val="009168E4"/>
    <w:rsid w:val="00916ACD"/>
    <w:rsid w:val="0091731F"/>
    <w:rsid w:val="0091734E"/>
    <w:rsid w:val="009174B6"/>
    <w:rsid w:val="009175F3"/>
    <w:rsid w:val="0092151D"/>
    <w:rsid w:val="00927E3D"/>
    <w:rsid w:val="00930C8B"/>
    <w:rsid w:val="00932967"/>
    <w:rsid w:val="009376F7"/>
    <w:rsid w:val="00940E5D"/>
    <w:rsid w:val="009415A9"/>
    <w:rsid w:val="00941738"/>
    <w:rsid w:val="00941C13"/>
    <w:rsid w:val="00943556"/>
    <w:rsid w:val="009440C0"/>
    <w:rsid w:val="00950800"/>
    <w:rsid w:val="0095204C"/>
    <w:rsid w:val="009520DC"/>
    <w:rsid w:val="009551F1"/>
    <w:rsid w:val="00962C31"/>
    <w:rsid w:val="00963FC6"/>
    <w:rsid w:val="00965947"/>
    <w:rsid w:val="0096754C"/>
    <w:rsid w:val="00975309"/>
    <w:rsid w:val="00975A13"/>
    <w:rsid w:val="00976C50"/>
    <w:rsid w:val="00977196"/>
    <w:rsid w:val="00983368"/>
    <w:rsid w:val="00985A78"/>
    <w:rsid w:val="009860B2"/>
    <w:rsid w:val="0099045E"/>
    <w:rsid w:val="00991DE1"/>
    <w:rsid w:val="009936D3"/>
    <w:rsid w:val="00994DBC"/>
    <w:rsid w:val="009962D3"/>
    <w:rsid w:val="009A0619"/>
    <w:rsid w:val="009A220F"/>
    <w:rsid w:val="009A33D5"/>
    <w:rsid w:val="009A3C65"/>
    <w:rsid w:val="009A50B3"/>
    <w:rsid w:val="009A59C8"/>
    <w:rsid w:val="009A74BB"/>
    <w:rsid w:val="009B0AC3"/>
    <w:rsid w:val="009B1561"/>
    <w:rsid w:val="009B37F6"/>
    <w:rsid w:val="009B6043"/>
    <w:rsid w:val="009B78D0"/>
    <w:rsid w:val="009C06C7"/>
    <w:rsid w:val="009C2CD6"/>
    <w:rsid w:val="009C35C8"/>
    <w:rsid w:val="009C6496"/>
    <w:rsid w:val="009C7E9D"/>
    <w:rsid w:val="009D1AF1"/>
    <w:rsid w:val="009D66CE"/>
    <w:rsid w:val="009E0B60"/>
    <w:rsid w:val="009E0C42"/>
    <w:rsid w:val="009E1AA4"/>
    <w:rsid w:val="009E44CB"/>
    <w:rsid w:val="009E49A1"/>
    <w:rsid w:val="009E4BED"/>
    <w:rsid w:val="009E67CB"/>
    <w:rsid w:val="009F002F"/>
    <w:rsid w:val="009F101B"/>
    <w:rsid w:val="00A00C6A"/>
    <w:rsid w:val="00A15089"/>
    <w:rsid w:val="00A1707F"/>
    <w:rsid w:val="00A20EF5"/>
    <w:rsid w:val="00A2174A"/>
    <w:rsid w:val="00A234B6"/>
    <w:rsid w:val="00A31D31"/>
    <w:rsid w:val="00A335B7"/>
    <w:rsid w:val="00A33913"/>
    <w:rsid w:val="00A352AB"/>
    <w:rsid w:val="00A361EB"/>
    <w:rsid w:val="00A41A27"/>
    <w:rsid w:val="00A44F89"/>
    <w:rsid w:val="00A50897"/>
    <w:rsid w:val="00A51E79"/>
    <w:rsid w:val="00A529A9"/>
    <w:rsid w:val="00A5355E"/>
    <w:rsid w:val="00A53779"/>
    <w:rsid w:val="00A53B1E"/>
    <w:rsid w:val="00A602D6"/>
    <w:rsid w:val="00A62CC1"/>
    <w:rsid w:val="00A63E32"/>
    <w:rsid w:val="00A64159"/>
    <w:rsid w:val="00A7101A"/>
    <w:rsid w:val="00A716C1"/>
    <w:rsid w:val="00A745E1"/>
    <w:rsid w:val="00A74708"/>
    <w:rsid w:val="00A832A1"/>
    <w:rsid w:val="00A84897"/>
    <w:rsid w:val="00A87EFC"/>
    <w:rsid w:val="00A905FB"/>
    <w:rsid w:val="00A9065D"/>
    <w:rsid w:val="00A95C42"/>
    <w:rsid w:val="00A96818"/>
    <w:rsid w:val="00A9759B"/>
    <w:rsid w:val="00AA183A"/>
    <w:rsid w:val="00AA269A"/>
    <w:rsid w:val="00AA2D5E"/>
    <w:rsid w:val="00AA4015"/>
    <w:rsid w:val="00AA6466"/>
    <w:rsid w:val="00AA6D9D"/>
    <w:rsid w:val="00AB0174"/>
    <w:rsid w:val="00AB0AAD"/>
    <w:rsid w:val="00AB1CE8"/>
    <w:rsid w:val="00AB24E9"/>
    <w:rsid w:val="00AB4DD6"/>
    <w:rsid w:val="00AB4E2F"/>
    <w:rsid w:val="00AB65B5"/>
    <w:rsid w:val="00AB7C78"/>
    <w:rsid w:val="00AC2A6A"/>
    <w:rsid w:val="00AC324C"/>
    <w:rsid w:val="00AC6863"/>
    <w:rsid w:val="00AD660C"/>
    <w:rsid w:val="00AD7B6F"/>
    <w:rsid w:val="00AE0F98"/>
    <w:rsid w:val="00AE341C"/>
    <w:rsid w:val="00AE6744"/>
    <w:rsid w:val="00B0397D"/>
    <w:rsid w:val="00B03EC3"/>
    <w:rsid w:val="00B05368"/>
    <w:rsid w:val="00B115C2"/>
    <w:rsid w:val="00B1263B"/>
    <w:rsid w:val="00B141C0"/>
    <w:rsid w:val="00B25000"/>
    <w:rsid w:val="00B261F9"/>
    <w:rsid w:val="00B268AE"/>
    <w:rsid w:val="00B346C3"/>
    <w:rsid w:val="00B43702"/>
    <w:rsid w:val="00B51E71"/>
    <w:rsid w:val="00B53945"/>
    <w:rsid w:val="00B53A88"/>
    <w:rsid w:val="00B7180E"/>
    <w:rsid w:val="00B7327A"/>
    <w:rsid w:val="00B772FB"/>
    <w:rsid w:val="00B82235"/>
    <w:rsid w:val="00B82B48"/>
    <w:rsid w:val="00B83003"/>
    <w:rsid w:val="00B8619A"/>
    <w:rsid w:val="00B862D7"/>
    <w:rsid w:val="00B86474"/>
    <w:rsid w:val="00B87332"/>
    <w:rsid w:val="00B90371"/>
    <w:rsid w:val="00B90EBF"/>
    <w:rsid w:val="00B92851"/>
    <w:rsid w:val="00B93DB1"/>
    <w:rsid w:val="00BA022D"/>
    <w:rsid w:val="00BA0C9E"/>
    <w:rsid w:val="00BA172F"/>
    <w:rsid w:val="00BA3786"/>
    <w:rsid w:val="00BB0235"/>
    <w:rsid w:val="00BB058F"/>
    <w:rsid w:val="00BB1B24"/>
    <w:rsid w:val="00BC0926"/>
    <w:rsid w:val="00BC397B"/>
    <w:rsid w:val="00BC6D3E"/>
    <w:rsid w:val="00BD02BF"/>
    <w:rsid w:val="00BD2B1F"/>
    <w:rsid w:val="00BD70D7"/>
    <w:rsid w:val="00BE3E61"/>
    <w:rsid w:val="00BE7FA4"/>
    <w:rsid w:val="00BF0794"/>
    <w:rsid w:val="00BF1B3B"/>
    <w:rsid w:val="00BF3ACC"/>
    <w:rsid w:val="00BF6D33"/>
    <w:rsid w:val="00BF75E3"/>
    <w:rsid w:val="00C01D3E"/>
    <w:rsid w:val="00C03146"/>
    <w:rsid w:val="00C12137"/>
    <w:rsid w:val="00C136BB"/>
    <w:rsid w:val="00C142F8"/>
    <w:rsid w:val="00C17B9D"/>
    <w:rsid w:val="00C225FD"/>
    <w:rsid w:val="00C304D0"/>
    <w:rsid w:val="00C310BA"/>
    <w:rsid w:val="00C35E24"/>
    <w:rsid w:val="00C4132E"/>
    <w:rsid w:val="00C41668"/>
    <w:rsid w:val="00C420B4"/>
    <w:rsid w:val="00C46834"/>
    <w:rsid w:val="00C476E3"/>
    <w:rsid w:val="00C476FA"/>
    <w:rsid w:val="00C5458E"/>
    <w:rsid w:val="00C54AFA"/>
    <w:rsid w:val="00C565F7"/>
    <w:rsid w:val="00C57916"/>
    <w:rsid w:val="00C61E95"/>
    <w:rsid w:val="00C62386"/>
    <w:rsid w:val="00C62B94"/>
    <w:rsid w:val="00C6773E"/>
    <w:rsid w:val="00C707C9"/>
    <w:rsid w:val="00C80D36"/>
    <w:rsid w:val="00C96D7F"/>
    <w:rsid w:val="00CA13D6"/>
    <w:rsid w:val="00CA15EA"/>
    <w:rsid w:val="00CB07D0"/>
    <w:rsid w:val="00CB4C91"/>
    <w:rsid w:val="00CB7020"/>
    <w:rsid w:val="00CC1AD0"/>
    <w:rsid w:val="00CD060D"/>
    <w:rsid w:val="00CD0DC6"/>
    <w:rsid w:val="00CD3B8D"/>
    <w:rsid w:val="00CD43ED"/>
    <w:rsid w:val="00CE01EB"/>
    <w:rsid w:val="00CE0A68"/>
    <w:rsid w:val="00CE1191"/>
    <w:rsid w:val="00CE6ADF"/>
    <w:rsid w:val="00CE795A"/>
    <w:rsid w:val="00CF00E4"/>
    <w:rsid w:val="00CF3015"/>
    <w:rsid w:val="00CF7C69"/>
    <w:rsid w:val="00D02FE6"/>
    <w:rsid w:val="00D1437E"/>
    <w:rsid w:val="00D14840"/>
    <w:rsid w:val="00D15A4F"/>
    <w:rsid w:val="00D179BC"/>
    <w:rsid w:val="00D2111E"/>
    <w:rsid w:val="00D22104"/>
    <w:rsid w:val="00D25DA0"/>
    <w:rsid w:val="00D2630D"/>
    <w:rsid w:val="00D339BE"/>
    <w:rsid w:val="00D35620"/>
    <w:rsid w:val="00D3609C"/>
    <w:rsid w:val="00D363FA"/>
    <w:rsid w:val="00D36593"/>
    <w:rsid w:val="00D43D0E"/>
    <w:rsid w:val="00D476DA"/>
    <w:rsid w:val="00D47E8C"/>
    <w:rsid w:val="00D51263"/>
    <w:rsid w:val="00D57BEA"/>
    <w:rsid w:val="00D63D7B"/>
    <w:rsid w:val="00D64152"/>
    <w:rsid w:val="00D755B8"/>
    <w:rsid w:val="00D7715E"/>
    <w:rsid w:val="00D80792"/>
    <w:rsid w:val="00D80C1D"/>
    <w:rsid w:val="00D81736"/>
    <w:rsid w:val="00D83180"/>
    <w:rsid w:val="00D9241D"/>
    <w:rsid w:val="00D946FE"/>
    <w:rsid w:val="00DA3BB7"/>
    <w:rsid w:val="00DB3BD8"/>
    <w:rsid w:val="00DB5195"/>
    <w:rsid w:val="00DB5B6C"/>
    <w:rsid w:val="00DC0AC4"/>
    <w:rsid w:val="00DC141B"/>
    <w:rsid w:val="00DC2FFA"/>
    <w:rsid w:val="00DC6C38"/>
    <w:rsid w:val="00DC7E22"/>
    <w:rsid w:val="00DD3DDF"/>
    <w:rsid w:val="00DD5009"/>
    <w:rsid w:val="00DD5448"/>
    <w:rsid w:val="00DD747C"/>
    <w:rsid w:val="00DD76F4"/>
    <w:rsid w:val="00DE12F4"/>
    <w:rsid w:val="00DE52CE"/>
    <w:rsid w:val="00DE57EA"/>
    <w:rsid w:val="00E024EF"/>
    <w:rsid w:val="00E02FAA"/>
    <w:rsid w:val="00E06AB3"/>
    <w:rsid w:val="00E074A4"/>
    <w:rsid w:val="00E12D54"/>
    <w:rsid w:val="00E14A0E"/>
    <w:rsid w:val="00E16B2C"/>
    <w:rsid w:val="00E177B5"/>
    <w:rsid w:val="00E24C0B"/>
    <w:rsid w:val="00E24D5A"/>
    <w:rsid w:val="00E24D6B"/>
    <w:rsid w:val="00E26579"/>
    <w:rsid w:val="00E27C28"/>
    <w:rsid w:val="00E27E6D"/>
    <w:rsid w:val="00E31A56"/>
    <w:rsid w:val="00E3211F"/>
    <w:rsid w:val="00E34D3A"/>
    <w:rsid w:val="00E46F06"/>
    <w:rsid w:val="00E56DA3"/>
    <w:rsid w:val="00E607B4"/>
    <w:rsid w:val="00E6100D"/>
    <w:rsid w:val="00E61377"/>
    <w:rsid w:val="00E65648"/>
    <w:rsid w:val="00E719D9"/>
    <w:rsid w:val="00E723A9"/>
    <w:rsid w:val="00E73312"/>
    <w:rsid w:val="00E745F9"/>
    <w:rsid w:val="00E81A43"/>
    <w:rsid w:val="00E83003"/>
    <w:rsid w:val="00E8384B"/>
    <w:rsid w:val="00E84FA5"/>
    <w:rsid w:val="00E87488"/>
    <w:rsid w:val="00E93E1C"/>
    <w:rsid w:val="00E959A7"/>
    <w:rsid w:val="00E96B4D"/>
    <w:rsid w:val="00EA0D96"/>
    <w:rsid w:val="00EB1274"/>
    <w:rsid w:val="00EB1A54"/>
    <w:rsid w:val="00EB4827"/>
    <w:rsid w:val="00EB6A28"/>
    <w:rsid w:val="00EB7666"/>
    <w:rsid w:val="00EB77BF"/>
    <w:rsid w:val="00EC2E58"/>
    <w:rsid w:val="00ED1286"/>
    <w:rsid w:val="00ED1BB1"/>
    <w:rsid w:val="00ED5C01"/>
    <w:rsid w:val="00ED7BB6"/>
    <w:rsid w:val="00EE1AF7"/>
    <w:rsid w:val="00EE1D5D"/>
    <w:rsid w:val="00EE1F10"/>
    <w:rsid w:val="00EE461E"/>
    <w:rsid w:val="00EE5F9D"/>
    <w:rsid w:val="00EE629F"/>
    <w:rsid w:val="00EF37CC"/>
    <w:rsid w:val="00EF49A0"/>
    <w:rsid w:val="00EF4A35"/>
    <w:rsid w:val="00EF4E42"/>
    <w:rsid w:val="00EF690A"/>
    <w:rsid w:val="00F10DBD"/>
    <w:rsid w:val="00F142D4"/>
    <w:rsid w:val="00F14691"/>
    <w:rsid w:val="00F22A49"/>
    <w:rsid w:val="00F253EA"/>
    <w:rsid w:val="00F26257"/>
    <w:rsid w:val="00F31B95"/>
    <w:rsid w:val="00F323A6"/>
    <w:rsid w:val="00F37391"/>
    <w:rsid w:val="00F37AF5"/>
    <w:rsid w:val="00F37FC2"/>
    <w:rsid w:val="00F42E4E"/>
    <w:rsid w:val="00F45CE5"/>
    <w:rsid w:val="00F45F3F"/>
    <w:rsid w:val="00F47203"/>
    <w:rsid w:val="00F5159B"/>
    <w:rsid w:val="00F524F1"/>
    <w:rsid w:val="00F547D3"/>
    <w:rsid w:val="00F54B49"/>
    <w:rsid w:val="00F6448C"/>
    <w:rsid w:val="00F713CB"/>
    <w:rsid w:val="00F734F2"/>
    <w:rsid w:val="00F77A9F"/>
    <w:rsid w:val="00F77AFB"/>
    <w:rsid w:val="00F87FDA"/>
    <w:rsid w:val="00F93EA3"/>
    <w:rsid w:val="00F97E52"/>
    <w:rsid w:val="00FA0746"/>
    <w:rsid w:val="00FA07D4"/>
    <w:rsid w:val="00FA10C2"/>
    <w:rsid w:val="00FA5187"/>
    <w:rsid w:val="00FB0164"/>
    <w:rsid w:val="00FB2313"/>
    <w:rsid w:val="00FB332E"/>
    <w:rsid w:val="00FB571F"/>
    <w:rsid w:val="00FB6C83"/>
    <w:rsid w:val="00FB7B9D"/>
    <w:rsid w:val="00FC0169"/>
    <w:rsid w:val="00FC1C41"/>
    <w:rsid w:val="00FC6659"/>
    <w:rsid w:val="00FC7380"/>
    <w:rsid w:val="00FD1D4F"/>
    <w:rsid w:val="00FD384C"/>
    <w:rsid w:val="00FD4A7B"/>
    <w:rsid w:val="00FD5210"/>
    <w:rsid w:val="00FD5D13"/>
    <w:rsid w:val="00FE19A0"/>
    <w:rsid w:val="00FE331D"/>
    <w:rsid w:val="00FF24BF"/>
    <w:rsid w:val="00FF4209"/>
    <w:rsid w:val="00FF6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8D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35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47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47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58"/>
    <w:pPr>
      <w:suppressAutoHyphens/>
      <w:spacing w:before="120" w:after="0" w:line="240" w:lineRule="auto"/>
      <w:ind w:left="720"/>
      <w:contextualSpacing/>
    </w:pPr>
    <w:rPr>
      <w:rFonts w:eastAsia="Times New Roman" w:cs="Arial"/>
      <w:spacing w:val="-2"/>
      <w:lang w:val="en-US"/>
    </w:rPr>
  </w:style>
  <w:style w:type="paragraph" w:styleId="Title">
    <w:name w:val="Title"/>
    <w:basedOn w:val="Normal"/>
    <w:next w:val="Normal"/>
    <w:link w:val="TitleChar"/>
    <w:uiPriority w:val="10"/>
    <w:qFormat/>
    <w:rsid w:val="006C5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8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58D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58D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C58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72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E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CB"/>
  </w:style>
  <w:style w:type="paragraph" w:styleId="Footer">
    <w:name w:val="footer"/>
    <w:basedOn w:val="Normal"/>
    <w:link w:val="FooterChar"/>
    <w:uiPriority w:val="99"/>
    <w:unhideWhenUsed/>
    <w:rsid w:val="009E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CB"/>
  </w:style>
  <w:style w:type="character" w:customStyle="1" w:styleId="Heading3Char">
    <w:name w:val="Heading 3 Char"/>
    <w:basedOn w:val="DefaultParagraphFont"/>
    <w:link w:val="Heading3"/>
    <w:uiPriority w:val="9"/>
    <w:rsid w:val="00A5355E"/>
    <w:rPr>
      <w:rFonts w:asciiTheme="majorHAnsi" w:eastAsiaTheme="majorEastAsia" w:hAnsiTheme="majorHAnsi" w:cstheme="majorBidi"/>
      <w:color w:val="1F4D78" w:themeColor="accent1" w:themeShade="7F"/>
      <w:sz w:val="24"/>
      <w:szCs w:val="24"/>
    </w:rPr>
  </w:style>
  <w:style w:type="paragraph" w:customStyle="1" w:styleId="Default">
    <w:name w:val="Default"/>
    <w:rsid w:val="008640C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93"/>
    <w:rPr>
      <w:rFonts w:ascii="Segoe UI" w:hAnsi="Segoe UI" w:cs="Segoe UI"/>
      <w:sz w:val="18"/>
      <w:szCs w:val="18"/>
    </w:rPr>
  </w:style>
  <w:style w:type="table" w:styleId="TableGrid">
    <w:name w:val="Table Grid"/>
    <w:basedOn w:val="TableNormal"/>
    <w:uiPriority w:val="39"/>
    <w:rsid w:val="00D3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347BA"/>
    <w:rPr>
      <w:b/>
      <w:bCs/>
      <w:smallCaps/>
      <w:color w:val="5B9BD5" w:themeColor="accent1"/>
      <w:spacing w:val="5"/>
    </w:rPr>
  </w:style>
  <w:style w:type="paragraph" w:styleId="IntenseQuote">
    <w:name w:val="Intense Quote"/>
    <w:basedOn w:val="Normal"/>
    <w:next w:val="Normal"/>
    <w:link w:val="IntenseQuoteChar"/>
    <w:uiPriority w:val="30"/>
    <w:qFormat/>
    <w:rsid w:val="000347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47BA"/>
    <w:rPr>
      <w:i/>
      <w:iCs/>
      <w:color w:val="5B9BD5" w:themeColor="accent1"/>
    </w:rPr>
  </w:style>
  <w:style w:type="character" w:customStyle="1" w:styleId="Heading4Char">
    <w:name w:val="Heading 4 Char"/>
    <w:basedOn w:val="DefaultParagraphFont"/>
    <w:link w:val="Heading4"/>
    <w:uiPriority w:val="9"/>
    <w:rsid w:val="000347B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47BA"/>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D22104"/>
    <w:rPr>
      <w:sz w:val="16"/>
      <w:szCs w:val="16"/>
    </w:rPr>
  </w:style>
  <w:style w:type="paragraph" w:styleId="CommentText">
    <w:name w:val="annotation text"/>
    <w:basedOn w:val="Normal"/>
    <w:link w:val="CommentTextChar"/>
    <w:uiPriority w:val="99"/>
    <w:unhideWhenUsed/>
    <w:rsid w:val="00D22104"/>
    <w:pPr>
      <w:spacing w:line="240" w:lineRule="auto"/>
    </w:pPr>
    <w:rPr>
      <w:sz w:val="20"/>
      <w:szCs w:val="20"/>
    </w:rPr>
  </w:style>
  <w:style w:type="character" w:customStyle="1" w:styleId="CommentTextChar">
    <w:name w:val="Comment Text Char"/>
    <w:basedOn w:val="DefaultParagraphFont"/>
    <w:link w:val="CommentText"/>
    <w:uiPriority w:val="99"/>
    <w:rsid w:val="00D22104"/>
    <w:rPr>
      <w:sz w:val="20"/>
      <w:szCs w:val="20"/>
    </w:rPr>
  </w:style>
  <w:style w:type="paragraph" w:styleId="CommentSubject">
    <w:name w:val="annotation subject"/>
    <w:basedOn w:val="CommentText"/>
    <w:next w:val="CommentText"/>
    <w:link w:val="CommentSubjectChar"/>
    <w:uiPriority w:val="99"/>
    <w:semiHidden/>
    <w:unhideWhenUsed/>
    <w:rsid w:val="00D22104"/>
    <w:rPr>
      <w:b/>
      <w:bCs/>
    </w:rPr>
  </w:style>
  <w:style w:type="character" w:customStyle="1" w:styleId="CommentSubjectChar">
    <w:name w:val="Comment Subject Char"/>
    <w:basedOn w:val="CommentTextChar"/>
    <w:link w:val="CommentSubject"/>
    <w:uiPriority w:val="99"/>
    <w:semiHidden/>
    <w:rsid w:val="00D22104"/>
    <w:rPr>
      <w:b/>
      <w:bCs/>
      <w:sz w:val="20"/>
      <w:szCs w:val="20"/>
    </w:rPr>
  </w:style>
  <w:style w:type="paragraph" w:styleId="Revision">
    <w:name w:val="Revision"/>
    <w:hidden/>
    <w:uiPriority w:val="99"/>
    <w:semiHidden/>
    <w:rsid w:val="00C57916"/>
    <w:pPr>
      <w:spacing w:after="0" w:line="240" w:lineRule="auto"/>
    </w:pPr>
  </w:style>
  <w:style w:type="paragraph" w:styleId="Caption">
    <w:name w:val="caption"/>
    <w:basedOn w:val="Normal"/>
    <w:next w:val="Normal"/>
    <w:uiPriority w:val="35"/>
    <w:unhideWhenUsed/>
    <w:qFormat/>
    <w:rsid w:val="00504FC9"/>
    <w:pPr>
      <w:spacing w:after="200" w:line="240" w:lineRule="auto"/>
    </w:pPr>
    <w:rPr>
      <w:i/>
      <w:iCs/>
      <w:color w:val="44546A" w:themeColor="text2"/>
      <w:sz w:val="18"/>
      <w:szCs w:val="18"/>
    </w:rPr>
  </w:style>
  <w:style w:type="paragraph" w:styleId="NoSpacing">
    <w:name w:val="No Spacing"/>
    <w:link w:val="NoSpacingChar"/>
    <w:uiPriority w:val="1"/>
    <w:qFormat/>
    <w:rsid w:val="007A0EF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0EFF"/>
    <w:rPr>
      <w:rFonts w:eastAsiaTheme="minorEastAsia"/>
      <w:lang w:val="en-US"/>
    </w:rPr>
  </w:style>
  <w:style w:type="table" w:customStyle="1" w:styleId="LightList-Accent11">
    <w:name w:val="Light List - Accent 11"/>
    <w:basedOn w:val="TableNormal"/>
    <w:uiPriority w:val="61"/>
    <w:rsid w:val="009A3C6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1LightAccent1">
    <w:name w:val="Grid Table 1 Light Accent 1"/>
    <w:basedOn w:val="TableNormal"/>
    <w:uiPriority w:val="46"/>
    <w:rsid w:val="001C704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755B8"/>
    <w:pPr>
      <w:numPr>
        <w:numId w:val="0"/>
      </w:numPr>
      <w:outlineLvl w:val="9"/>
    </w:pPr>
    <w:rPr>
      <w:lang w:val="en-US"/>
    </w:rPr>
  </w:style>
  <w:style w:type="paragraph" w:styleId="TOC3">
    <w:name w:val="toc 3"/>
    <w:basedOn w:val="Normal"/>
    <w:next w:val="Normal"/>
    <w:autoRedefine/>
    <w:uiPriority w:val="39"/>
    <w:unhideWhenUsed/>
    <w:rsid w:val="00D755B8"/>
    <w:pPr>
      <w:spacing w:after="100"/>
      <w:ind w:left="440"/>
    </w:pPr>
  </w:style>
  <w:style w:type="paragraph" w:styleId="TOC1">
    <w:name w:val="toc 1"/>
    <w:basedOn w:val="Normal"/>
    <w:next w:val="Normal"/>
    <w:autoRedefine/>
    <w:uiPriority w:val="39"/>
    <w:unhideWhenUsed/>
    <w:rsid w:val="00896DEC"/>
    <w:pPr>
      <w:tabs>
        <w:tab w:val="left" w:pos="450"/>
        <w:tab w:val="right" w:leader="dot" w:pos="9350"/>
      </w:tabs>
      <w:spacing w:after="100"/>
    </w:pPr>
  </w:style>
  <w:style w:type="paragraph" w:styleId="TOC2">
    <w:name w:val="toc 2"/>
    <w:basedOn w:val="Normal"/>
    <w:next w:val="Normal"/>
    <w:autoRedefine/>
    <w:uiPriority w:val="39"/>
    <w:unhideWhenUsed/>
    <w:rsid w:val="00E24C0B"/>
    <w:pPr>
      <w:tabs>
        <w:tab w:val="left" w:pos="880"/>
        <w:tab w:val="right" w:leader="dot" w:pos="9350"/>
      </w:tabs>
      <w:spacing w:after="100"/>
      <w:ind w:left="540"/>
    </w:pPr>
  </w:style>
  <w:style w:type="character" w:styleId="Hyperlink">
    <w:name w:val="Hyperlink"/>
    <w:basedOn w:val="DefaultParagraphFont"/>
    <w:uiPriority w:val="99"/>
    <w:unhideWhenUsed/>
    <w:rsid w:val="00D755B8"/>
    <w:rPr>
      <w:color w:val="0563C1" w:themeColor="hyperlink"/>
      <w:u w:val="single"/>
    </w:rPr>
  </w:style>
  <w:style w:type="paragraph" w:styleId="PlainText">
    <w:name w:val="Plain Text"/>
    <w:basedOn w:val="Normal"/>
    <w:link w:val="PlainTextChar"/>
    <w:uiPriority w:val="99"/>
    <w:semiHidden/>
    <w:unhideWhenUsed/>
    <w:rsid w:val="000768E1"/>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0768E1"/>
    <w:rPr>
      <w:rFonts w:ascii="Calibri" w:hAnsi="Calibri" w:cs="Consolas"/>
      <w:szCs w:val="21"/>
      <w:lang w:val="en-US"/>
    </w:rPr>
  </w:style>
  <w:style w:type="character" w:styleId="FollowedHyperlink">
    <w:name w:val="FollowedHyperlink"/>
    <w:basedOn w:val="DefaultParagraphFont"/>
    <w:uiPriority w:val="99"/>
    <w:semiHidden/>
    <w:unhideWhenUsed/>
    <w:rsid w:val="006B31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8D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35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47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47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58"/>
    <w:pPr>
      <w:suppressAutoHyphens/>
      <w:spacing w:before="120" w:after="0" w:line="240" w:lineRule="auto"/>
      <w:ind w:left="720"/>
      <w:contextualSpacing/>
    </w:pPr>
    <w:rPr>
      <w:rFonts w:eastAsia="Times New Roman" w:cs="Arial"/>
      <w:spacing w:val="-2"/>
      <w:lang w:val="en-US"/>
    </w:rPr>
  </w:style>
  <w:style w:type="paragraph" w:styleId="Title">
    <w:name w:val="Title"/>
    <w:basedOn w:val="Normal"/>
    <w:next w:val="Normal"/>
    <w:link w:val="TitleChar"/>
    <w:uiPriority w:val="10"/>
    <w:qFormat/>
    <w:rsid w:val="006C5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8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58D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58D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C58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72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E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CB"/>
  </w:style>
  <w:style w:type="paragraph" w:styleId="Footer">
    <w:name w:val="footer"/>
    <w:basedOn w:val="Normal"/>
    <w:link w:val="FooterChar"/>
    <w:uiPriority w:val="99"/>
    <w:unhideWhenUsed/>
    <w:rsid w:val="009E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CB"/>
  </w:style>
  <w:style w:type="character" w:customStyle="1" w:styleId="Heading3Char">
    <w:name w:val="Heading 3 Char"/>
    <w:basedOn w:val="DefaultParagraphFont"/>
    <w:link w:val="Heading3"/>
    <w:uiPriority w:val="9"/>
    <w:rsid w:val="00A5355E"/>
    <w:rPr>
      <w:rFonts w:asciiTheme="majorHAnsi" w:eastAsiaTheme="majorEastAsia" w:hAnsiTheme="majorHAnsi" w:cstheme="majorBidi"/>
      <w:color w:val="1F4D78" w:themeColor="accent1" w:themeShade="7F"/>
      <w:sz w:val="24"/>
      <w:szCs w:val="24"/>
    </w:rPr>
  </w:style>
  <w:style w:type="paragraph" w:customStyle="1" w:styleId="Default">
    <w:name w:val="Default"/>
    <w:rsid w:val="008640C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93"/>
    <w:rPr>
      <w:rFonts w:ascii="Segoe UI" w:hAnsi="Segoe UI" w:cs="Segoe UI"/>
      <w:sz w:val="18"/>
      <w:szCs w:val="18"/>
    </w:rPr>
  </w:style>
  <w:style w:type="table" w:styleId="TableGrid">
    <w:name w:val="Table Grid"/>
    <w:basedOn w:val="TableNormal"/>
    <w:uiPriority w:val="39"/>
    <w:rsid w:val="00D3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347BA"/>
    <w:rPr>
      <w:b/>
      <w:bCs/>
      <w:smallCaps/>
      <w:color w:val="5B9BD5" w:themeColor="accent1"/>
      <w:spacing w:val="5"/>
    </w:rPr>
  </w:style>
  <w:style w:type="paragraph" w:styleId="IntenseQuote">
    <w:name w:val="Intense Quote"/>
    <w:basedOn w:val="Normal"/>
    <w:next w:val="Normal"/>
    <w:link w:val="IntenseQuoteChar"/>
    <w:uiPriority w:val="30"/>
    <w:qFormat/>
    <w:rsid w:val="000347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47BA"/>
    <w:rPr>
      <w:i/>
      <w:iCs/>
      <w:color w:val="5B9BD5" w:themeColor="accent1"/>
    </w:rPr>
  </w:style>
  <w:style w:type="character" w:customStyle="1" w:styleId="Heading4Char">
    <w:name w:val="Heading 4 Char"/>
    <w:basedOn w:val="DefaultParagraphFont"/>
    <w:link w:val="Heading4"/>
    <w:uiPriority w:val="9"/>
    <w:rsid w:val="000347B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47BA"/>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D22104"/>
    <w:rPr>
      <w:sz w:val="16"/>
      <w:szCs w:val="16"/>
    </w:rPr>
  </w:style>
  <w:style w:type="paragraph" w:styleId="CommentText">
    <w:name w:val="annotation text"/>
    <w:basedOn w:val="Normal"/>
    <w:link w:val="CommentTextChar"/>
    <w:uiPriority w:val="99"/>
    <w:unhideWhenUsed/>
    <w:rsid w:val="00D22104"/>
    <w:pPr>
      <w:spacing w:line="240" w:lineRule="auto"/>
    </w:pPr>
    <w:rPr>
      <w:sz w:val="20"/>
      <w:szCs w:val="20"/>
    </w:rPr>
  </w:style>
  <w:style w:type="character" w:customStyle="1" w:styleId="CommentTextChar">
    <w:name w:val="Comment Text Char"/>
    <w:basedOn w:val="DefaultParagraphFont"/>
    <w:link w:val="CommentText"/>
    <w:uiPriority w:val="99"/>
    <w:rsid w:val="00D22104"/>
    <w:rPr>
      <w:sz w:val="20"/>
      <w:szCs w:val="20"/>
    </w:rPr>
  </w:style>
  <w:style w:type="paragraph" w:styleId="CommentSubject">
    <w:name w:val="annotation subject"/>
    <w:basedOn w:val="CommentText"/>
    <w:next w:val="CommentText"/>
    <w:link w:val="CommentSubjectChar"/>
    <w:uiPriority w:val="99"/>
    <w:semiHidden/>
    <w:unhideWhenUsed/>
    <w:rsid w:val="00D22104"/>
    <w:rPr>
      <w:b/>
      <w:bCs/>
    </w:rPr>
  </w:style>
  <w:style w:type="character" w:customStyle="1" w:styleId="CommentSubjectChar">
    <w:name w:val="Comment Subject Char"/>
    <w:basedOn w:val="CommentTextChar"/>
    <w:link w:val="CommentSubject"/>
    <w:uiPriority w:val="99"/>
    <w:semiHidden/>
    <w:rsid w:val="00D22104"/>
    <w:rPr>
      <w:b/>
      <w:bCs/>
      <w:sz w:val="20"/>
      <w:szCs w:val="20"/>
    </w:rPr>
  </w:style>
  <w:style w:type="paragraph" w:styleId="Revision">
    <w:name w:val="Revision"/>
    <w:hidden/>
    <w:uiPriority w:val="99"/>
    <w:semiHidden/>
    <w:rsid w:val="00C57916"/>
    <w:pPr>
      <w:spacing w:after="0" w:line="240" w:lineRule="auto"/>
    </w:pPr>
  </w:style>
  <w:style w:type="paragraph" w:styleId="Caption">
    <w:name w:val="caption"/>
    <w:basedOn w:val="Normal"/>
    <w:next w:val="Normal"/>
    <w:uiPriority w:val="35"/>
    <w:unhideWhenUsed/>
    <w:qFormat/>
    <w:rsid w:val="00504FC9"/>
    <w:pPr>
      <w:spacing w:after="200" w:line="240" w:lineRule="auto"/>
    </w:pPr>
    <w:rPr>
      <w:i/>
      <w:iCs/>
      <w:color w:val="44546A" w:themeColor="text2"/>
      <w:sz w:val="18"/>
      <w:szCs w:val="18"/>
    </w:rPr>
  </w:style>
  <w:style w:type="paragraph" w:styleId="NoSpacing">
    <w:name w:val="No Spacing"/>
    <w:link w:val="NoSpacingChar"/>
    <w:uiPriority w:val="1"/>
    <w:qFormat/>
    <w:rsid w:val="007A0EF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A0EFF"/>
    <w:rPr>
      <w:rFonts w:eastAsiaTheme="minorEastAsia"/>
      <w:lang w:val="en-US"/>
    </w:rPr>
  </w:style>
  <w:style w:type="table" w:customStyle="1" w:styleId="LightList-Accent11">
    <w:name w:val="Light List - Accent 11"/>
    <w:basedOn w:val="TableNormal"/>
    <w:uiPriority w:val="61"/>
    <w:rsid w:val="009A3C6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1LightAccent1">
    <w:name w:val="Grid Table 1 Light Accent 1"/>
    <w:basedOn w:val="TableNormal"/>
    <w:uiPriority w:val="46"/>
    <w:rsid w:val="001C704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755B8"/>
    <w:pPr>
      <w:numPr>
        <w:numId w:val="0"/>
      </w:numPr>
      <w:outlineLvl w:val="9"/>
    </w:pPr>
    <w:rPr>
      <w:lang w:val="en-US"/>
    </w:rPr>
  </w:style>
  <w:style w:type="paragraph" w:styleId="TOC3">
    <w:name w:val="toc 3"/>
    <w:basedOn w:val="Normal"/>
    <w:next w:val="Normal"/>
    <w:autoRedefine/>
    <w:uiPriority w:val="39"/>
    <w:unhideWhenUsed/>
    <w:rsid w:val="00D755B8"/>
    <w:pPr>
      <w:spacing w:after="100"/>
      <w:ind w:left="440"/>
    </w:pPr>
  </w:style>
  <w:style w:type="paragraph" w:styleId="TOC1">
    <w:name w:val="toc 1"/>
    <w:basedOn w:val="Normal"/>
    <w:next w:val="Normal"/>
    <w:autoRedefine/>
    <w:uiPriority w:val="39"/>
    <w:unhideWhenUsed/>
    <w:rsid w:val="00896DEC"/>
    <w:pPr>
      <w:tabs>
        <w:tab w:val="left" w:pos="450"/>
        <w:tab w:val="right" w:leader="dot" w:pos="9350"/>
      </w:tabs>
      <w:spacing w:after="100"/>
    </w:pPr>
  </w:style>
  <w:style w:type="paragraph" w:styleId="TOC2">
    <w:name w:val="toc 2"/>
    <w:basedOn w:val="Normal"/>
    <w:next w:val="Normal"/>
    <w:autoRedefine/>
    <w:uiPriority w:val="39"/>
    <w:unhideWhenUsed/>
    <w:rsid w:val="00E24C0B"/>
    <w:pPr>
      <w:tabs>
        <w:tab w:val="left" w:pos="880"/>
        <w:tab w:val="right" w:leader="dot" w:pos="9350"/>
      </w:tabs>
      <w:spacing w:after="100"/>
      <w:ind w:left="540"/>
    </w:pPr>
  </w:style>
  <w:style w:type="character" w:styleId="Hyperlink">
    <w:name w:val="Hyperlink"/>
    <w:basedOn w:val="DefaultParagraphFont"/>
    <w:uiPriority w:val="99"/>
    <w:unhideWhenUsed/>
    <w:rsid w:val="00D755B8"/>
    <w:rPr>
      <w:color w:val="0563C1" w:themeColor="hyperlink"/>
      <w:u w:val="single"/>
    </w:rPr>
  </w:style>
  <w:style w:type="paragraph" w:styleId="PlainText">
    <w:name w:val="Plain Text"/>
    <w:basedOn w:val="Normal"/>
    <w:link w:val="PlainTextChar"/>
    <w:uiPriority w:val="99"/>
    <w:semiHidden/>
    <w:unhideWhenUsed/>
    <w:rsid w:val="000768E1"/>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semiHidden/>
    <w:rsid w:val="000768E1"/>
    <w:rPr>
      <w:rFonts w:ascii="Calibri" w:hAnsi="Calibri" w:cs="Consolas"/>
      <w:szCs w:val="21"/>
      <w:lang w:val="en-US"/>
    </w:rPr>
  </w:style>
  <w:style w:type="character" w:styleId="FollowedHyperlink">
    <w:name w:val="FollowedHyperlink"/>
    <w:basedOn w:val="DefaultParagraphFont"/>
    <w:uiPriority w:val="99"/>
    <w:semiHidden/>
    <w:unhideWhenUsed/>
    <w:rsid w:val="006B3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3881">
      <w:bodyDiv w:val="1"/>
      <w:marLeft w:val="0"/>
      <w:marRight w:val="0"/>
      <w:marTop w:val="0"/>
      <w:marBottom w:val="0"/>
      <w:divBdr>
        <w:top w:val="none" w:sz="0" w:space="0" w:color="auto"/>
        <w:left w:val="none" w:sz="0" w:space="0" w:color="auto"/>
        <w:bottom w:val="none" w:sz="0" w:space="0" w:color="auto"/>
        <w:right w:val="none" w:sz="0" w:space="0" w:color="auto"/>
      </w:divBdr>
    </w:div>
    <w:div w:id="294794703">
      <w:bodyDiv w:val="1"/>
      <w:marLeft w:val="0"/>
      <w:marRight w:val="0"/>
      <w:marTop w:val="0"/>
      <w:marBottom w:val="0"/>
      <w:divBdr>
        <w:top w:val="none" w:sz="0" w:space="0" w:color="auto"/>
        <w:left w:val="none" w:sz="0" w:space="0" w:color="auto"/>
        <w:bottom w:val="none" w:sz="0" w:space="0" w:color="auto"/>
        <w:right w:val="none" w:sz="0" w:space="0" w:color="auto"/>
      </w:divBdr>
    </w:div>
    <w:div w:id="871264006">
      <w:bodyDiv w:val="1"/>
      <w:marLeft w:val="0"/>
      <w:marRight w:val="0"/>
      <w:marTop w:val="0"/>
      <w:marBottom w:val="0"/>
      <w:divBdr>
        <w:top w:val="none" w:sz="0" w:space="0" w:color="auto"/>
        <w:left w:val="none" w:sz="0" w:space="0" w:color="auto"/>
        <w:bottom w:val="none" w:sz="0" w:space="0" w:color="auto"/>
        <w:right w:val="none" w:sz="0" w:space="0" w:color="auto"/>
      </w:divBdr>
    </w:div>
    <w:div w:id="900406102">
      <w:bodyDiv w:val="1"/>
      <w:marLeft w:val="0"/>
      <w:marRight w:val="0"/>
      <w:marTop w:val="0"/>
      <w:marBottom w:val="0"/>
      <w:divBdr>
        <w:top w:val="none" w:sz="0" w:space="0" w:color="auto"/>
        <w:left w:val="none" w:sz="0" w:space="0" w:color="auto"/>
        <w:bottom w:val="none" w:sz="0" w:space="0" w:color="auto"/>
        <w:right w:val="none" w:sz="0" w:space="0" w:color="auto"/>
      </w:divBdr>
    </w:div>
    <w:div w:id="1663311640">
      <w:bodyDiv w:val="1"/>
      <w:marLeft w:val="0"/>
      <w:marRight w:val="0"/>
      <w:marTop w:val="0"/>
      <w:marBottom w:val="0"/>
      <w:divBdr>
        <w:top w:val="none" w:sz="0" w:space="0" w:color="auto"/>
        <w:left w:val="none" w:sz="0" w:space="0" w:color="auto"/>
        <w:bottom w:val="none" w:sz="0" w:space="0" w:color="auto"/>
        <w:right w:val="none" w:sz="0" w:space="0" w:color="auto"/>
      </w:divBdr>
    </w:div>
    <w:div w:id="17255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8615B756D64693A291E7A2F8132E73"/>
        <w:category>
          <w:name w:val="General"/>
          <w:gallery w:val="placeholder"/>
        </w:category>
        <w:types>
          <w:type w:val="bbPlcHdr"/>
        </w:types>
        <w:behaviors>
          <w:behavior w:val="content"/>
        </w:behaviors>
        <w:guid w:val="{90DBE09A-8CAD-4707-8145-9DA40459EBA5}"/>
      </w:docPartPr>
      <w:docPartBody>
        <w:p w:rsidR="009A41F2" w:rsidRDefault="0056272C" w:rsidP="0056272C">
          <w:pPr>
            <w:pStyle w:val="E78615B756D64693A291E7A2F8132E73"/>
          </w:pPr>
          <w:r>
            <w:rPr>
              <w:color w:val="365F91" w:themeColor="accent1" w:themeShade="BF"/>
              <w:sz w:val="24"/>
              <w:szCs w:val="24"/>
            </w:rPr>
            <w:t>[Company name]</w:t>
          </w:r>
        </w:p>
      </w:docPartBody>
    </w:docPart>
    <w:docPart>
      <w:docPartPr>
        <w:name w:val="58AFC3C6F9634F16A0CEB1D65F45D3AD"/>
        <w:category>
          <w:name w:val="General"/>
          <w:gallery w:val="placeholder"/>
        </w:category>
        <w:types>
          <w:type w:val="bbPlcHdr"/>
        </w:types>
        <w:behaviors>
          <w:behavior w:val="content"/>
        </w:behaviors>
        <w:guid w:val="{3886BC35-F048-4640-9693-2DE2598AC722}"/>
      </w:docPartPr>
      <w:docPartBody>
        <w:p w:rsidR="009A41F2" w:rsidRDefault="0056272C" w:rsidP="0056272C">
          <w:pPr>
            <w:pStyle w:val="58AFC3C6F9634F16A0CEB1D65F45D3AD"/>
          </w:pPr>
          <w:r>
            <w:rPr>
              <w:rFonts w:asciiTheme="majorHAnsi" w:eastAsiaTheme="majorEastAsia" w:hAnsiTheme="majorHAnsi" w:cstheme="majorBidi"/>
              <w:color w:val="4F81BD"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2C"/>
    <w:rsid w:val="00013534"/>
    <w:rsid w:val="0005563D"/>
    <w:rsid w:val="00077A3F"/>
    <w:rsid w:val="00097933"/>
    <w:rsid w:val="000A3CA5"/>
    <w:rsid w:val="001B1E69"/>
    <w:rsid w:val="001C76A8"/>
    <w:rsid w:val="003D583C"/>
    <w:rsid w:val="003E3B92"/>
    <w:rsid w:val="004650DD"/>
    <w:rsid w:val="004D0292"/>
    <w:rsid w:val="00514830"/>
    <w:rsid w:val="0056272C"/>
    <w:rsid w:val="0063631F"/>
    <w:rsid w:val="00682622"/>
    <w:rsid w:val="00692881"/>
    <w:rsid w:val="006B781A"/>
    <w:rsid w:val="006D1707"/>
    <w:rsid w:val="00701F39"/>
    <w:rsid w:val="00836257"/>
    <w:rsid w:val="0089081C"/>
    <w:rsid w:val="008F06BD"/>
    <w:rsid w:val="00917DE6"/>
    <w:rsid w:val="009A41F2"/>
    <w:rsid w:val="009E2AAB"/>
    <w:rsid w:val="00A0493F"/>
    <w:rsid w:val="00A3757F"/>
    <w:rsid w:val="00A60109"/>
    <w:rsid w:val="00A871F1"/>
    <w:rsid w:val="00B32A3C"/>
    <w:rsid w:val="00C90C7B"/>
    <w:rsid w:val="00C94D69"/>
    <w:rsid w:val="00CA101A"/>
    <w:rsid w:val="00D12DF2"/>
    <w:rsid w:val="00D339FF"/>
    <w:rsid w:val="00DA2CB9"/>
    <w:rsid w:val="00E2653F"/>
    <w:rsid w:val="00E46459"/>
    <w:rsid w:val="00E7044F"/>
    <w:rsid w:val="00E804E4"/>
    <w:rsid w:val="00E9396B"/>
    <w:rsid w:val="00EF53F9"/>
    <w:rsid w:val="00FC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8615B756D64693A291E7A2F8132E73">
    <w:name w:val="E78615B756D64693A291E7A2F8132E73"/>
    <w:rsid w:val="0056272C"/>
  </w:style>
  <w:style w:type="paragraph" w:customStyle="1" w:styleId="58AFC3C6F9634F16A0CEB1D65F45D3AD">
    <w:name w:val="58AFC3C6F9634F16A0CEB1D65F45D3AD"/>
    <w:rsid w:val="0056272C"/>
  </w:style>
  <w:style w:type="paragraph" w:customStyle="1" w:styleId="9F2BA979C9D34F118E5334825E3DC338">
    <w:name w:val="9F2BA979C9D34F118E5334825E3DC338"/>
    <w:rsid w:val="0056272C"/>
  </w:style>
  <w:style w:type="paragraph" w:customStyle="1" w:styleId="5AE0CF776FD04367BA14E5AF5CECF495">
    <w:name w:val="5AE0CF776FD04367BA14E5AF5CECF495"/>
    <w:rsid w:val="0056272C"/>
  </w:style>
  <w:style w:type="paragraph" w:customStyle="1" w:styleId="75AE7BDE89B94D85BACEBECD287CE007">
    <w:name w:val="75AE7BDE89B94D85BACEBECD287CE007"/>
    <w:rsid w:val="005627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8615B756D64693A291E7A2F8132E73">
    <w:name w:val="E78615B756D64693A291E7A2F8132E73"/>
    <w:rsid w:val="0056272C"/>
  </w:style>
  <w:style w:type="paragraph" w:customStyle="1" w:styleId="58AFC3C6F9634F16A0CEB1D65F45D3AD">
    <w:name w:val="58AFC3C6F9634F16A0CEB1D65F45D3AD"/>
    <w:rsid w:val="0056272C"/>
  </w:style>
  <w:style w:type="paragraph" w:customStyle="1" w:styleId="9F2BA979C9D34F118E5334825E3DC338">
    <w:name w:val="9F2BA979C9D34F118E5334825E3DC338"/>
    <w:rsid w:val="0056272C"/>
  </w:style>
  <w:style w:type="paragraph" w:customStyle="1" w:styleId="5AE0CF776FD04367BA14E5AF5CECF495">
    <w:name w:val="5AE0CF776FD04367BA14E5AF5CECF495"/>
    <w:rsid w:val="0056272C"/>
  </w:style>
  <w:style w:type="paragraph" w:customStyle="1" w:styleId="75AE7BDE89B94D85BACEBECD287CE007">
    <w:name w:val="75AE7BDE89B94D85BACEBECD287CE007"/>
    <w:rsid w:val="00562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2017-03-16T00:00:00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f5b683435684ee3be1af0eef190bac7 xmlns="7a8708e8-a7b1-48e4-a95e-1a4664bffb5d">
      <Terms xmlns="http://schemas.microsoft.com/office/infopath/2007/PartnerControls"/>
    </df5b683435684ee3be1af0eef190bac7>
    <c4cf5cecf4f54657945a2f4588401a68 xmlns="7a8708e8-a7b1-48e4-a95e-1a4664bffb5d">
      <Terms xmlns="http://schemas.microsoft.com/office/infopath/2007/PartnerControls">
        <TermInfo xmlns="http://schemas.microsoft.com/office/infopath/2007/PartnerControls">
          <TermName xmlns="http://schemas.microsoft.com/office/infopath/2007/PartnerControls">Toronto</TermName>
          <TermId xmlns="http://schemas.microsoft.com/office/infopath/2007/PartnerControls">9ae3917b-ceff-41d0-9d20-66eb88e5f57f</TermId>
        </TermInfo>
      </Terms>
    </c4cf5cecf4f54657945a2f4588401a68>
    <TaxKeywordTaxHTField xmlns="7a8708e8-a7b1-48e4-a95e-1a4664bffb5d">
      <Terms xmlns="http://schemas.microsoft.com/office/infopath/2007/PartnerControls"/>
    </TaxKeywordTaxHTField>
    <e153b20188154f8b8009ff191a318f42 xmlns="7a8708e8-a7b1-48e4-a95e-1a4664bffb5d">
      <Terms xmlns="http://schemas.microsoft.com/office/infopath/2007/PartnerControls">
        <TermInfo xmlns="http://schemas.microsoft.com/office/infopath/2007/PartnerControls">
          <TermName xmlns="http://schemas.microsoft.com/office/infopath/2007/PartnerControls">Health Care</TermName>
          <TermId xmlns="http://schemas.microsoft.com/office/infopath/2007/PartnerControls">4c9417c5-65f3-4f4c-b8c1-800ca034c540</TermId>
        </TermInfo>
      </Terms>
    </e153b20188154f8b8009ff191a318f42>
    <KPMGDocStatus xmlns="7a8708e8-a7b1-48e4-a95e-1a4664bffb5d" xsi:nil="true"/>
    <n175d4bc2e5742d8bdc6e10036226be0 xmlns="7a8708e8-a7b1-48e4-a95e-1a4664bffb5d">
      <Terms xmlns="http://schemas.microsoft.com/office/infopath/2007/PartnerControls">
        <TermInfo xmlns="http://schemas.microsoft.com/office/infopath/2007/PartnerControls">
          <TermName xmlns="http://schemas.microsoft.com/office/infopath/2007/PartnerControls">KPMG Bahamas</TermName>
          <TermId xmlns="http://schemas.microsoft.com/office/infopath/2007/PartnerControls">02d69076-7fa3-4605-91de-b76790c9b16c</TermId>
        </TermInfo>
      </Terms>
    </n175d4bc2e5742d8bdc6e10036226be0>
    <engname xmlns="7a8708e8-a7b1-48e4-a95e-1a4664bffb5d">Bahamas - National Health Insurance Plan</engname>
    <l8f0a71c47eb4bed978b885734e0aaa0 xmlns="7a8708e8-a7b1-48e4-a95e-1a4664bffb5d">
      <Terms xmlns="http://schemas.microsoft.com/office/infopath/2007/PartnerControls">
        <TermInfo xmlns="http://schemas.microsoft.com/office/infopath/2007/PartnerControls">
          <TermName xmlns="http://schemas.microsoft.com/office/infopath/2007/PartnerControls">Operational Strategy</TermName>
          <TermId xmlns="http://schemas.microsoft.com/office/infopath/2007/PartnerControls">fe3df160-d4e9-4706-a9a5-fd727a6e739a</TermId>
        </TermInfo>
      </Terms>
    </l8f0a71c47eb4bed978b885734e0aaa0>
    <TaxCatchAll xmlns="7a8708e8-a7b1-48e4-a95e-1a4664bffb5d">
      <Value>4</Value>
      <Value>3</Value>
      <Value>2</Value>
      <Value>1</Value>
    </TaxCatchAll>
    <_dlc_DocId xmlns="7ec35432-2e8c-4cac-a748-9f0cfb920151">6N2S3CDZEFNR-2-18353</_dlc_DocId>
    <_dlc_DocIdUrl xmlns="7ec35432-2e8c-4cac-a748-9f0cfb920151">
      <Url>https://kdm.ca.kworld.kpmg.com/sites/5000000064E1/_layouts/15/DocIdRedir.aspx?ID=6N2S3CDZEFNR-2-18353</Url>
      <Description>6N2S3CDZEFNR-2-18353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015c5536-8aef-4f54-84d3-0887bdbac016" ContentTypeId="0x0101003FD9BD0E18176D4FA4358D86B30BB4D802" PreviousValue="false"/>
</file>

<file path=customXml/item5.xml><?xml version="1.0" encoding="utf-8"?>
<ct:contentTypeSchema xmlns:ct="http://schemas.microsoft.com/office/2006/metadata/contentType" xmlns:ma="http://schemas.microsoft.com/office/2006/metadata/properties/metaAttributes" ct:_="" ma:_="" ma:contentTypeName="KPMG Engagement Document" ma:contentTypeID="0x0101003FD9BD0E18176D4FA4358D86B30BB4D8020053EB6938CBF4614C8EE93F3AA41B5083" ma:contentTypeVersion="352" ma:contentTypeDescription="" ma:contentTypeScope="" ma:versionID="45b1f3194903ed545d40bf74d63ef531">
  <xsd:schema xmlns:xsd="http://www.w3.org/2001/XMLSchema" xmlns:xs="http://www.w3.org/2001/XMLSchema" xmlns:p="http://schemas.microsoft.com/office/2006/metadata/properties" xmlns:ns2="7a8708e8-a7b1-48e4-a95e-1a4664bffb5d" xmlns:ns4="7ec35432-2e8c-4cac-a748-9f0cfb920151" targetNamespace="http://schemas.microsoft.com/office/2006/metadata/properties" ma:root="true" ma:fieldsID="cdb5cdd74dc724ff3e28aef38bb7694e" ns2:_="" ns4:_="">
    <xsd:import namespace="7a8708e8-a7b1-48e4-a95e-1a4664bffb5d"/>
    <xsd:import namespace="7ec35432-2e8c-4cac-a748-9f0cfb920151"/>
    <xsd:element name="properties">
      <xsd:complexType>
        <xsd:sequence>
          <xsd:element name="documentManagement">
            <xsd:complexType>
              <xsd:all>
                <xsd:element ref="ns2:engname" minOccurs="0"/>
                <xsd:element ref="ns2:KPMGDocStatus" minOccurs="0"/>
                <xsd:element ref="ns2:c4cf5cecf4f54657945a2f4588401a68" minOccurs="0"/>
                <xsd:element ref="ns2:l8f0a71c47eb4bed978b885734e0aaa0" minOccurs="0"/>
                <xsd:element ref="ns2:df5b683435684ee3be1af0eef190bac7" minOccurs="0"/>
                <xsd:element ref="ns2:n175d4bc2e5742d8bdc6e10036226be0" minOccurs="0"/>
                <xsd:element ref="ns2:TaxCatchAll" minOccurs="0"/>
                <xsd:element ref="ns2:TaxKeywordTaxHTField" minOccurs="0"/>
                <xsd:element ref="ns2:TaxCatchAllLabel" minOccurs="0"/>
                <xsd:element ref="ns2:e153b20188154f8b8009ff191a318f42"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08e8-a7b1-48e4-a95e-1a4664bffb5d" elementFormDefault="qualified">
    <xsd:import namespace="http://schemas.microsoft.com/office/2006/documentManagement/types"/>
    <xsd:import namespace="http://schemas.microsoft.com/office/infopath/2007/PartnerControls"/>
    <xsd:element name="engname" ma:index="3" nillable="true" ma:displayName="Engagement Name" ma:description="" ma:internalName="engname" ma:readOnly="false">
      <xsd:simpleType>
        <xsd:restriction base="dms:Text"/>
      </xsd:simpleType>
    </xsd:element>
    <xsd:element name="KPMGDocStatus" ma:index="8" nillable="true" ma:displayName="Document Status" ma:description="" ma:format="Dropdown" ma:internalName="KPMGDocStatus" ma:readOnly="false">
      <xsd:simpleType>
        <xsd:restriction base="dms:Choice">
          <xsd:enumeration value="Not Started"/>
          <xsd:enumeration value="In Progress"/>
          <xsd:enumeration value="In Review"/>
          <xsd:enumeration value="Complete"/>
        </xsd:restriction>
      </xsd:simpleType>
    </xsd:element>
    <xsd:element name="c4cf5cecf4f54657945a2f4588401a68" ma:index="12" nillable="true" ma:taxonomy="true" ma:internalName="c4cf5cecf4f54657945a2f4588401a68" ma:taxonomyFieldName="market" ma:displayName="Market" ma:readOnly="false" ma:fieldId="{c4cf5cec-f4f5-4657-945a-2f4588401a68}" ma:sspId="015c5536-8aef-4f54-84d3-0887bdbac016" ma:termSetId="25f35519-5b5c-42d1-9658-76bd7ca4f9e2" ma:anchorId="00000000-0000-0000-0000-000000000000" ma:open="false" ma:isKeyword="false">
      <xsd:complexType>
        <xsd:sequence>
          <xsd:element ref="pc:Terms" minOccurs="0" maxOccurs="1"/>
        </xsd:sequence>
      </xsd:complexType>
    </xsd:element>
    <xsd:element name="l8f0a71c47eb4bed978b885734e0aaa0" ma:index="14" nillable="true" ma:taxonomy="true" ma:internalName="l8f0a71c47eb4bed978b885734e0aaa0" ma:taxonomyFieldName="serviceline" ma:displayName="Service Line" ma:readOnly="false" ma:default="" ma:fieldId="{58f0a71c-47eb-4bed-978b-885734e0aaa0}" ma:sspId="015c5536-8aef-4f54-84d3-0887bdbac016" ma:termSetId="d4c9480e-1fa7-4f96-bac2-c7bd9c155118" ma:anchorId="00000000-0000-0000-0000-000000000000" ma:open="false" ma:isKeyword="false">
      <xsd:complexType>
        <xsd:sequence>
          <xsd:element ref="pc:Terms" minOccurs="0" maxOccurs="1"/>
        </xsd:sequence>
      </xsd:complexType>
    </xsd:element>
    <xsd:element name="df5b683435684ee3be1af0eef190bac7" ma:index="16" nillable="true" ma:taxonomy="true" ma:internalName="df5b683435684ee3be1af0eef190bac7" ma:taxonomyFieldName="KPMGDocType" ma:displayName="Document Type" ma:readOnly="false" ma:default="" ma:fieldId="{df5b6834-3568-4ee3-be1a-f0eef190bac7}" ma:sspId="015c5536-8aef-4f54-84d3-0887bdbac016" ma:termSetId="4724a380-c3f2-4d2a-b2ea-c6f003c9501c" ma:anchorId="00000000-0000-0000-0000-000000000000" ma:open="false" ma:isKeyword="false">
      <xsd:complexType>
        <xsd:sequence>
          <xsd:element ref="pc:Terms" minOccurs="0" maxOccurs="1"/>
        </xsd:sequence>
      </xsd:complexType>
    </xsd:element>
    <xsd:element name="n175d4bc2e5742d8bdc6e10036226be0" ma:index="18" nillable="true" ma:taxonomy="true" ma:internalName="n175d4bc2e5742d8bdc6e10036226be0" ma:taxonomyFieldName="client" ma:displayName="Client Name" ma:readOnly="false" ma:default="" ma:fieldId="{7175d4bc-2e57-42d8-bdc6-e10036226be0}" ma:sspId="015c5536-8aef-4f54-84d3-0887bdbac016" ma:termSetId="eccc2c39-1589-4a23-b68e-245c4895996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a35a816d-7842-43f8-b00e-d88957dc373d}" ma:internalName="TaxCatchAll" ma:showField="CatchAllData" ma:web="7ec35432-2e8c-4cac-a748-9f0cfb920151">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readOnly="false" ma:fieldId="{23f27201-bee3-471e-b2e7-b64fd8b7ca38}" ma:taxonomyMulti="true" ma:sspId="015c5536-8aef-4f54-84d3-0887bdbac016" ma:termSetId="00000000-0000-0000-0000-000000000000" ma:anchorId="00000000-0000-0000-0000-000000000000" ma:open="true" ma:isKeyword="true">
      <xsd:complexType>
        <xsd:sequence>
          <xsd:element ref="pc:Terms" minOccurs="0" maxOccurs="1"/>
        </xsd:sequence>
      </xsd:complexType>
    </xsd:element>
    <xsd:element name="TaxCatchAllLabel" ma:index="21" nillable="true" ma:displayName="Taxonomy Catch All Column1" ma:description="" ma:hidden="true" ma:list="{a35a816d-7842-43f8-b00e-d88957dc373d}" ma:internalName="TaxCatchAllLabel" ma:readOnly="true" ma:showField="CatchAllDataLabel" ma:web="7ec35432-2e8c-4cac-a748-9f0cfb920151">
      <xsd:complexType>
        <xsd:complexContent>
          <xsd:extension base="dms:MultiChoiceLookup">
            <xsd:sequence>
              <xsd:element name="Value" type="dms:Lookup" maxOccurs="unbounded" minOccurs="0" nillable="true"/>
            </xsd:sequence>
          </xsd:extension>
        </xsd:complexContent>
      </xsd:complexType>
    </xsd:element>
    <xsd:element name="e153b20188154f8b8009ff191a318f42" ma:index="22" nillable="true" ma:taxonomy="true" ma:internalName="e153b20188154f8b8009ff191a318f42" ma:taxonomyFieldName="industry" ma:displayName="Industry" ma:readOnly="false" ma:fieldId="{e153b201-8815-4f8b-8009-ff191a318f42}" ma:sspId="015c5536-8aef-4f54-84d3-0887bdbac016" ma:termSetId="3292eddb-fc01-44e7-b768-a6c85ffd9f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c35432-2e8c-4cac-a748-9f0cfb920151"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01CE9-FA59-48A7-B0C7-C29D1571414C}">
  <ds:schemaRefs>
    <ds:schemaRef ds:uri="http://schemas.microsoft.com/office/2006/metadata/properties"/>
    <ds:schemaRef ds:uri="http://schemas.microsoft.com/office/infopath/2007/PartnerControls"/>
    <ds:schemaRef ds:uri="7a8708e8-a7b1-48e4-a95e-1a4664bffb5d"/>
    <ds:schemaRef ds:uri="7ec35432-2e8c-4cac-a748-9f0cfb920151"/>
  </ds:schemaRefs>
</ds:datastoreItem>
</file>

<file path=customXml/itemProps3.xml><?xml version="1.0" encoding="utf-8"?>
<ds:datastoreItem xmlns:ds="http://schemas.openxmlformats.org/officeDocument/2006/customXml" ds:itemID="{1FBA38AF-49E1-4732-85BE-6CAF096BEAA7}">
  <ds:schemaRefs>
    <ds:schemaRef ds:uri="http://schemas.microsoft.com/sharepoint/events"/>
  </ds:schemaRefs>
</ds:datastoreItem>
</file>

<file path=customXml/itemProps4.xml><?xml version="1.0" encoding="utf-8"?>
<ds:datastoreItem xmlns:ds="http://schemas.openxmlformats.org/officeDocument/2006/customXml" ds:itemID="{208D442B-061B-487F-B11A-DBA1514ABEAF}">
  <ds:schemaRefs>
    <ds:schemaRef ds:uri="Microsoft.SharePoint.Taxonomy.ContentTypeSync"/>
  </ds:schemaRefs>
</ds:datastoreItem>
</file>

<file path=customXml/itemProps5.xml><?xml version="1.0" encoding="utf-8"?>
<ds:datastoreItem xmlns:ds="http://schemas.openxmlformats.org/officeDocument/2006/customXml" ds:itemID="{968F24E8-D101-4E17-B468-FA766AA35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708e8-a7b1-48e4-a95e-1a4664bffb5d"/>
    <ds:schemaRef ds:uri="7ec35432-2e8c-4cac-a748-9f0cfb920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6A8DAF-16B1-45EF-90EC-EEDD1114DD1F}">
  <ds:schemaRefs>
    <ds:schemaRef ds:uri="http://schemas.microsoft.com/sharepoint/v3/contenttype/forms"/>
  </ds:schemaRefs>
</ds:datastoreItem>
</file>

<file path=customXml/itemProps7.xml><?xml version="1.0" encoding="utf-8"?>
<ds:datastoreItem xmlns:ds="http://schemas.openxmlformats.org/officeDocument/2006/customXml" ds:itemID="{D1528D8D-9C35-4B82-B5A9-82D95CA9725D}">
  <ds:schemaRefs>
    <ds:schemaRef ds:uri="http://schemas.microsoft.com/office/2006/metadata/customXsn"/>
  </ds:schemaRefs>
</ds:datastoreItem>
</file>

<file path=customXml/itemProps8.xml><?xml version="1.0" encoding="utf-8"?>
<ds:datastoreItem xmlns:ds="http://schemas.openxmlformats.org/officeDocument/2006/customXml" ds:itemID="{F562B55C-75A6-47F6-8158-098EC57A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Privacy Policy</vt:lpstr>
    </vt:vector>
  </TitlesOfParts>
  <Company>National Health Insurance Authority</Company>
  <LinksUpToDate>false</LinksUpToDate>
  <CharactersWithSpaces>24884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VERSION – April 20, 2017</dc:subject>
  <dc:creator>Savolaine, Clark G</dc:creator>
  <cp:lastModifiedBy>FleishmanHillard</cp:lastModifiedBy>
  <cp:revision>2</cp:revision>
  <cp:lastPrinted>2016-11-28T16:04:00Z</cp:lastPrinted>
  <dcterms:created xsi:type="dcterms:W3CDTF">2017-04-24T09:58:00Z</dcterms:created>
  <dcterms:modified xsi:type="dcterms:W3CDTF">2017-04-24T09:58:00Z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0x0101003FD9BD0E18176D4FA4358D86B30BB4D8020053EB6938CBF4614C8EE93F3AA41B5083</vt:lpwstr>
  </property>
  <property fmtid="{D5CDD505-2E9C-101B-9397-08002B2CF9AE}" pid="3" name="serviceline">
    <vt:lpwstr>4;#Operational Strategy|fe3df160-d4e9-4706-a9a5-fd727a6e739a</vt:lpwstr>
  </property>
  <property fmtid="{D5CDD505-2E9C-101B-9397-08002B2CF9AE}" pid="4" name="TaxKeyword">
    <vt:lpwstr/>
  </property>
  <property fmtid="{D5CDD505-2E9C-101B-9397-08002B2CF9AE}" pid="5" name="industry">
    <vt:lpwstr>3;#Health Care|4c9417c5-65f3-4f4c-b8c1-800ca034c540</vt:lpwstr>
  </property>
  <property fmtid="{D5CDD505-2E9C-101B-9397-08002B2CF9AE}" pid="6" name="client">
    <vt:lpwstr>1;#KPMG Bahamas|02d69076-7fa3-4605-91de-b76790c9b16c</vt:lpwstr>
  </property>
  <property fmtid="{D5CDD505-2E9C-101B-9397-08002B2CF9AE}" pid="7" name="KPMGDocType">
    <vt:lpwstr/>
  </property>
  <property fmtid="{D5CDD505-2E9C-101B-9397-08002B2CF9AE}" pid="8" name="market">
    <vt:lpwstr>2;#Toronto|9ae3917b-ceff-41d0-9d20-66eb88e5f57f</vt:lpwstr>
  </property>
  <property fmtid="{D5CDD505-2E9C-101B-9397-08002B2CF9AE}" pid="9" name="_dlc_DocIdItemGuid">
    <vt:lpwstr>d34e92d8-bf4c-43a7-9443-398a90b27cc9</vt:lpwstr>
  </property>
</Properties>
</file>